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Narrow" w:hAnsi="Arial Narrow"/>
          <w:b/>
          <w:i w:val="0"/>
          <w:color w:val="E21C24"/>
          <w:sz w:val="21"/>
        </w:rPr>
        <w:t>MATCHBOOK CULTURE CAMP  ·  DAY 1  ·  TEACHER FACILITATION GUIDE</w:t>
      </w:r>
    </w:p>
    <w:p>
      <w:pPr>
        <w:pBdr>
          <w:bottom w:val="single" w:sz="18" w:space="2" w:color="E21C24"/>
        </w:pBdr>
      </w:pPr>
      <w:r>
        <w:rPr>
          <w:rFonts w:ascii="Arial Narrow" w:hAnsi="Arial Narrow"/>
          <w:b/>
          <w:i w:val="0"/>
          <w:color w:val="1A1A1A"/>
          <w:sz w:val="48"/>
        </w:rPr>
        <w:t>INDEPENDENT WORK NORMS</w:t>
      </w:r>
    </w:p>
    <w:p/>
    <w:p>
      <w:r>
        <w:rPr>
          <w:rFonts w:ascii="Arial Narrow" w:hAnsi="Arial Narrow"/>
          <w:b/>
          <w:i w:val="0"/>
          <w:color w:val="1A1A1A"/>
          <w:sz w:val="26"/>
        </w:rPr>
        <w:t>SESSION IDENTITY</w:t>
      </w:r>
    </w:p>
    <w:p>
      <w:pPr>
        <w:pStyle w:val="ListBullet"/>
      </w:pPr>
      <w:r>
        <w:rPr>
          <w:rFonts w:ascii="Calibri" w:hAnsi="Calibri"/>
          <w:b w:val="0"/>
          <w:i w:val="0"/>
          <w:color w:val="4A4A4A"/>
          <w:sz w:val="22"/>
        </w:rPr>
        <w:t>Audience: Students and teachers</w:t>
      </w:r>
    </w:p>
    <w:p>
      <w:pPr>
        <w:pStyle w:val="ListBullet"/>
      </w:pPr>
      <w:r>
        <w:rPr>
          <w:rFonts w:ascii="Calibri" w:hAnsi="Calibri"/>
          <w:b w:val="0"/>
          <w:i w:val="0"/>
          <w:color w:val="4A4A4A"/>
          <w:sz w:val="22"/>
        </w:rPr>
        <w:t>Runtime: 20 minutes</w:t>
      </w:r>
    </w:p>
    <w:p>
      <w:pPr>
        <w:pStyle w:val="ListBullet"/>
      </w:pPr>
      <w:r>
        <w:rPr>
          <w:rFonts w:ascii="Calibri" w:hAnsi="Calibri"/>
          <w:b w:val="0"/>
          <w:i w:val="0"/>
          <w:color w:val="4A4A4A"/>
          <w:sz w:val="22"/>
        </w:rPr>
        <w:t>Culture Camp Day: Culture Camp Day 1</w:t>
      </w:r>
    </w:p>
    <w:p>
      <w:pPr>
        <w:pStyle w:val="ListBullet"/>
      </w:pPr>
      <w:r>
        <w:rPr>
          <w:rFonts w:ascii="Calibri" w:hAnsi="Calibri"/>
          <w:b w:val="0"/>
          <w:i w:val="0"/>
          <w:color w:val="4A4A4A"/>
          <w:sz w:val="22"/>
        </w:rPr>
        <w:t>Track: Classroom Operating System</w:t>
      </w:r>
    </w:p>
    <w:p>
      <w:r>
        <w:rPr>
          <w:rFonts w:ascii="Arial Narrow" w:hAnsi="Arial Narrow"/>
          <w:b/>
          <w:i w:val="0"/>
          <w:color w:val="E21C24"/>
          <w:sz w:val="26"/>
        </w:rPr>
        <w:t>TEACHER PURPOSE</w:t>
      </w:r>
    </w:p>
    <w:p>
      <w:r>
        <w:rPr>
          <w:rFonts w:ascii="Calibri" w:hAnsi="Calibri"/>
          <w:b w:val="0"/>
          <w:i w:val="0"/>
          <w:color w:val="4A4A4A"/>
          <w:sz w:val="22"/>
        </w:rPr>
        <w:t>Independent work is the longest single block of student behavior in any school day. Yet it is also the least-taught routine - teachers assume it because they assign it. When the norms are not named, the classroom drifts toward conversation, wandering, or rushed completion. When the norms are named, independent work becomes the moment when students develop the sustained-attention muscle that underlies every academic skill. This lesson teaches the muscle, not the assignment.</w:t>
      </w:r>
    </w:p>
    <w:p>
      <w:r>
        <w:rPr>
          <w:rFonts w:ascii="Arial Narrow" w:hAnsi="Arial Narrow"/>
          <w:b/>
          <w:i w:val="0"/>
          <w:color w:val="E21C24"/>
          <w:sz w:val="26"/>
        </w:rPr>
        <w:t>STUDENT OUTCOMES</w:t>
      </w:r>
    </w:p>
    <w:p>
      <w:pPr>
        <w:pStyle w:val="ListBullet"/>
      </w:pPr>
      <w:r>
        <w:rPr>
          <w:rFonts w:ascii="Calibri" w:hAnsi="Calibri"/>
          <w:b w:val="0"/>
          <w:i w:val="0"/>
          <w:color w:val="4A4A4A"/>
          <w:sz w:val="22"/>
        </w:rPr>
        <w:t>Name the four norms of independent work: voice 0, in seat, eyes on work, sustained effort.</w:t>
      </w:r>
    </w:p>
    <w:p>
      <w:pPr>
        <w:pStyle w:val="ListBullet"/>
      </w:pPr>
      <w:r>
        <w:rPr>
          <w:rFonts w:ascii="Calibri" w:hAnsi="Calibri"/>
          <w:b w:val="0"/>
          <w:i w:val="0"/>
          <w:color w:val="4A4A4A"/>
          <w:sz w:val="22"/>
        </w:rPr>
        <w:t>Identify the difference between independent work and other classroom modes (partner work, group work, instruction).</w:t>
      </w:r>
    </w:p>
    <w:p>
      <w:pPr>
        <w:pStyle w:val="ListBullet"/>
      </w:pPr>
      <w:r>
        <w:rPr>
          <w:rFonts w:ascii="Calibri" w:hAnsi="Calibri"/>
          <w:b w:val="0"/>
          <w:i w:val="0"/>
          <w:color w:val="4A4A4A"/>
          <w:sz w:val="22"/>
        </w:rPr>
        <w:t>Demonstrate sustained effort for the full posted block.</w:t>
      </w:r>
    </w:p>
    <w:p>
      <w:r>
        <w:rPr>
          <w:rFonts w:ascii="Arial Narrow" w:hAnsi="Arial Narrow"/>
          <w:b/>
          <w:i w:val="0"/>
          <w:color w:val="E21C24"/>
          <w:sz w:val="32"/>
        </w:rPr>
        <w:t>RUN OF SHOW (TIME-STAMPED)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1A1A1A"/>
          </w:tcPr>
          <w:p>
            <w:r/>
            <w:r>
              <w:rPr>
                <w:rFonts w:ascii="Calibri" w:hAnsi="Calibri"/>
                <w:b/>
                <w:i w:val="0"/>
                <w:color w:val="FFFFFF"/>
                <w:sz w:val="19"/>
              </w:rPr>
              <w:t>Time</w:t>
            </w:r>
          </w:p>
        </w:tc>
        <w:tc>
          <w:tcPr>
            <w:tcW w:type="dxa" w:w="2556"/>
            <w:shd w:val="clear" w:fill="1A1A1A"/>
          </w:tcPr>
          <w:p>
            <w:r/>
            <w:r>
              <w:rPr>
                <w:rFonts w:ascii="Calibri" w:hAnsi="Calibri"/>
                <w:b/>
                <w:i w:val="0"/>
                <w:color w:val="FFFFFF"/>
                <w:sz w:val="19"/>
              </w:rPr>
              <w:t>Min</w:t>
            </w:r>
          </w:p>
        </w:tc>
        <w:tc>
          <w:tcPr>
            <w:tcW w:type="dxa" w:w="2556"/>
            <w:shd w:val="clear" w:fill="1A1A1A"/>
          </w:tcPr>
          <w:p>
            <w:r/>
            <w:r>
              <w:rPr>
                <w:rFonts w:ascii="Calibri" w:hAnsi="Calibri"/>
                <w:b/>
                <w:i w:val="0"/>
                <w:color w:val="FFFFFF"/>
                <w:sz w:val="19"/>
              </w:rPr>
              <w:t>Segment</w:t>
            </w:r>
          </w:p>
        </w:tc>
        <w:tc>
          <w:tcPr>
            <w:tcW w:type="dxa" w:w="2556"/>
            <w:shd w:val="clear" w:fill="1A1A1A"/>
          </w:tcPr>
          <w:p>
            <w:r/>
            <w:r>
              <w:rPr>
                <w:rFonts w:ascii="Calibri" w:hAnsi="Calibri"/>
                <w:b/>
                <w:i w:val="0"/>
                <w:color w:val="FFFFFF"/>
                <w:sz w:val="19"/>
              </w:rPr>
              <w:t>Teacher Direction</w:t>
            </w:r>
          </w:p>
        </w:tc>
      </w:tr>
      <w:tr>
        <w:tc>
          <w:tcPr>
            <w:tcW w:type="dxa" w:w="2556"/>
            <w:shd w:val="clear" w:fill="FFFFFF"/>
          </w:tcPr>
          <w:p>
            <w:r/>
            <w:r>
              <w:rPr>
                <w:rFonts w:ascii="Calibri" w:hAnsi="Calibri"/>
                <w:b w:val="0"/>
                <w:i w:val="0"/>
                <w:color w:val="4A4A4A"/>
                <w:sz w:val="19"/>
              </w:rPr>
              <w:t>0:00–0:03</w:t>
            </w:r>
          </w:p>
        </w:tc>
        <w:tc>
          <w:tcPr>
            <w:tcW w:type="dxa" w:w="2556"/>
            <w:shd w:val="clear" w:fill="FFFFFF"/>
          </w:tcPr>
          <w:p>
            <w:r/>
            <w:r>
              <w:rPr>
                <w:rFonts w:ascii="Calibri" w:hAnsi="Calibri"/>
                <w:b w:val="0"/>
                <w:i w:val="0"/>
                <w:color w:val="4A4A4A"/>
                <w:sz w:val="19"/>
              </w:rPr>
              <w:t>3</w:t>
            </w:r>
          </w:p>
        </w:tc>
        <w:tc>
          <w:tcPr>
            <w:tcW w:type="dxa" w:w="2556"/>
            <w:shd w:val="clear" w:fill="FFFFFF"/>
          </w:tcPr>
          <w:p>
            <w:r/>
            <w:r>
              <w:rPr>
                <w:rFonts w:ascii="Calibri" w:hAnsi="Calibri"/>
                <w:b w:val="0"/>
                <w:i w:val="0"/>
                <w:color w:val="4A4A4A"/>
                <w:sz w:val="19"/>
              </w:rPr>
              <w:t>1. Hook: "What does focus feel like?" (3 minutes)</w:t>
            </w:r>
          </w:p>
        </w:tc>
        <w:tc>
          <w:tcPr>
            <w:tcW w:type="dxa" w:w="2556"/>
            <w:shd w:val="clear" w:fill="FFFFFF"/>
          </w:tcPr>
          <w:p>
            <w:r/>
            <w:r>
              <w:rPr>
                <w:rFonts w:ascii="Calibri" w:hAnsi="Calibri"/>
                <w:b w:val="0"/>
                <w:i w:val="0"/>
                <w:color w:val="4A4A4A"/>
                <w:sz w:val="19"/>
              </w:rPr>
              <w:t>Pose the question: "Think about a time you were so focused you forgot what time it was. What were you doing? What did your body feel like?" Take three responses. Possible answers: video game, drawing, reading, sport.  Land the framing line: "That state has a name. Athletes call it the zone. Musicians call it the pocket. We call it independent work. It is a real thing, and it can be practiced."</w:t>
            </w:r>
          </w:p>
        </w:tc>
      </w:tr>
      <w:tr>
        <w:tc>
          <w:tcPr>
            <w:tcW w:type="dxa" w:w="2556"/>
            <w:shd w:val="clear" w:fill="F6F6F4"/>
          </w:tcPr>
          <w:p>
            <w:r/>
            <w:r>
              <w:rPr>
                <w:rFonts w:ascii="Calibri" w:hAnsi="Calibri"/>
                <w:b w:val="0"/>
                <w:i w:val="0"/>
                <w:color w:val="4A4A4A"/>
                <w:sz w:val="19"/>
              </w:rPr>
              <w:t>0:03–0:09</w:t>
            </w:r>
          </w:p>
        </w:tc>
        <w:tc>
          <w:tcPr>
            <w:tcW w:type="dxa" w:w="2556"/>
            <w:shd w:val="clear" w:fill="F6F6F4"/>
          </w:tcPr>
          <w:p>
            <w:r/>
            <w:r>
              <w:rPr>
                <w:rFonts w:ascii="Calibri" w:hAnsi="Calibri"/>
                <w:b w:val="0"/>
                <w:i w:val="0"/>
                <w:color w:val="4A4A4A"/>
                <w:sz w:val="19"/>
              </w:rPr>
              <w:t>6</w:t>
            </w:r>
          </w:p>
        </w:tc>
        <w:tc>
          <w:tcPr>
            <w:tcW w:type="dxa" w:w="2556"/>
            <w:shd w:val="clear" w:fill="F6F6F4"/>
          </w:tcPr>
          <w:p>
            <w:r/>
            <w:r>
              <w:rPr>
                <w:rFonts w:ascii="Calibri" w:hAnsi="Calibri"/>
                <w:b w:val="0"/>
                <w:i w:val="0"/>
                <w:color w:val="4A4A4A"/>
                <w:sz w:val="19"/>
              </w:rPr>
              <w:t>2. Teach the four norms (6 minutes)</w:t>
            </w:r>
          </w:p>
        </w:tc>
        <w:tc>
          <w:tcPr>
            <w:tcW w:type="dxa" w:w="2556"/>
            <w:shd w:val="clear" w:fill="F6F6F4"/>
          </w:tcPr>
          <w:p>
            <w:r/>
            <w:r>
              <w:rPr>
                <w:rFonts w:ascii="Calibri" w:hAnsi="Calibri"/>
                <w:b w:val="0"/>
                <w:i w:val="0"/>
                <w:color w:val="4A4A4A"/>
                <w:sz w:val="19"/>
              </w:rPr>
              <w:t>For each norm, demonstrate. Show voice 0 by sitting and modeling the silence. Show eyes-on-work by tracking your eyes across a piece of paper. Show sustained effort by re-reading a difficult sentence three times.</w:t>
            </w:r>
          </w:p>
        </w:tc>
      </w:tr>
      <w:tr>
        <w:tc>
          <w:tcPr>
            <w:tcW w:type="dxa" w:w="2556"/>
            <w:shd w:val="clear" w:fill="FFFFFF"/>
          </w:tcPr>
          <w:p>
            <w:r/>
            <w:r>
              <w:rPr>
                <w:rFonts w:ascii="Calibri" w:hAnsi="Calibri"/>
                <w:b w:val="0"/>
                <w:i w:val="0"/>
                <w:color w:val="4A4A4A"/>
                <w:sz w:val="19"/>
              </w:rPr>
              <w:t>0:09–0:13</w:t>
            </w:r>
          </w:p>
        </w:tc>
        <w:tc>
          <w:tcPr>
            <w:tcW w:type="dxa" w:w="2556"/>
            <w:shd w:val="clear" w:fill="FFFFFF"/>
          </w:tcPr>
          <w:p>
            <w:r/>
            <w:r>
              <w:rPr>
                <w:rFonts w:ascii="Calibri" w:hAnsi="Calibri"/>
                <w:b w:val="0"/>
                <w:i w:val="0"/>
                <w:color w:val="4A4A4A"/>
                <w:sz w:val="19"/>
              </w:rPr>
              <w:t>4</w:t>
            </w:r>
          </w:p>
        </w:tc>
        <w:tc>
          <w:tcPr>
            <w:tcW w:type="dxa" w:w="2556"/>
            <w:shd w:val="clear" w:fill="FFFFFF"/>
          </w:tcPr>
          <w:p>
            <w:r/>
            <w:r>
              <w:rPr>
                <w:rFonts w:ascii="Calibri" w:hAnsi="Calibri"/>
                <w:b w:val="0"/>
                <w:i w:val="0"/>
                <w:color w:val="4A4A4A"/>
                <w:sz w:val="19"/>
              </w:rPr>
              <w:t>3. Distinguish independent work from other modes (4 minutes)</w:t>
            </w:r>
          </w:p>
        </w:tc>
        <w:tc>
          <w:tcPr>
            <w:tcW w:type="dxa" w:w="2556"/>
            <w:shd w:val="clear" w:fill="FFFFFF"/>
          </w:tcPr>
          <w:p>
            <w:r/>
            <w:r>
              <w:rPr>
                <w:rFonts w:ascii="Calibri" w:hAnsi="Calibri"/>
                <w:b w:val="0"/>
                <w:i w:val="0"/>
                <w:color w:val="4A4A4A"/>
                <w:sz w:val="19"/>
              </w:rPr>
              <w:t>Cue students: "Right now we are in ___ mode." Have them call back the mode. Run this for each of the four modes. The goal is that students can identify the mode by listening.</w:t>
            </w:r>
          </w:p>
        </w:tc>
      </w:tr>
      <w:tr>
        <w:tc>
          <w:tcPr>
            <w:tcW w:type="dxa" w:w="2556"/>
            <w:shd w:val="clear" w:fill="F6F6F4"/>
          </w:tcPr>
          <w:p>
            <w:r/>
            <w:r>
              <w:rPr>
                <w:rFonts w:ascii="Calibri" w:hAnsi="Calibri"/>
                <w:b w:val="0"/>
                <w:i w:val="0"/>
                <w:color w:val="4A4A4A"/>
                <w:sz w:val="19"/>
              </w:rPr>
              <w:t>0:13–0:18</w:t>
            </w:r>
          </w:p>
        </w:tc>
        <w:tc>
          <w:tcPr>
            <w:tcW w:type="dxa" w:w="2556"/>
            <w:shd w:val="clear" w:fill="F6F6F4"/>
          </w:tcPr>
          <w:p>
            <w:r/>
            <w:r>
              <w:rPr>
                <w:rFonts w:ascii="Calibri" w:hAnsi="Calibri"/>
                <w:b w:val="0"/>
                <w:i w:val="0"/>
                <w:color w:val="4A4A4A"/>
                <w:sz w:val="19"/>
              </w:rPr>
              <w:t>5</w:t>
            </w:r>
          </w:p>
        </w:tc>
        <w:tc>
          <w:tcPr>
            <w:tcW w:type="dxa" w:w="2556"/>
            <w:shd w:val="clear" w:fill="F6F6F4"/>
          </w:tcPr>
          <w:p>
            <w:r/>
            <w:r>
              <w:rPr>
                <w:rFonts w:ascii="Calibri" w:hAnsi="Calibri"/>
                <w:b w:val="0"/>
                <w:i w:val="0"/>
                <w:color w:val="4A4A4A"/>
                <w:sz w:val="19"/>
              </w:rPr>
              <w:t>4. Run a 5-minute independent work block (5 minutes)</w:t>
            </w:r>
          </w:p>
        </w:tc>
        <w:tc>
          <w:tcPr>
            <w:tcW w:type="dxa" w:w="2556"/>
            <w:shd w:val="clear" w:fill="F6F6F4"/>
          </w:tcPr>
          <w:p>
            <w:r/>
            <w:r>
              <w:rPr>
                <w:rFonts w:ascii="Calibri" w:hAnsi="Calibri"/>
                <w:b w:val="0"/>
                <w:i w:val="0"/>
                <w:color w:val="4A4A4A"/>
                <w:sz w:val="19"/>
              </w:rPr>
              <w:t>Hand out a low-stakes task (sample problem, reading passage, journal prompt). Cue: "Independent work. Five minutes. Begin."  Time it. Do not help during the block. Walk the room. Observe. At the end, cue: "Independent work complete. Pencils down."  Debrief briefly: "What did your brain do in minute 1? In minute 3? In minute 5?"</w:t>
            </w:r>
          </w:p>
        </w:tc>
      </w:tr>
      <w:tr>
        <w:tc>
          <w:tcPr>
            <w:tcW w:type="dxa" w:w="2556"/>
            <w:shd w:val="clear" w:fill="FFFFFF"/>
          </w:tcPr>
          <w:p>
            <w:r/>
            <w:r>
              <w:rPr>
                <w:rFonts w:ascii="Calibri" w:hAnsi="Calibri"/>
                <w:b w:val="0"/>
                <w:i w:val="0"/>
                <w:color w:val="4A4A4A"/>
                <w:sz w:val="19"/>
              </w:rPr>
              <w:t>0:18–0:20</w:t>
            </w:r>
          </w:p>
        </w:tc>
        <w:tc>
          <w:tcPr>
            <w:tcW w:type="dxa" w:w="2556"/>
            <w:shd w:val="clear" w:fill="FFFFFF"/>
          </w:tcPr>
          <w:p>
            <w:r/>
            <w:r>
              <w:rPr>
                <w:rFonts w:ascii="Calibri" w:hAnsi="Calibri"/>
                <w:b w:val="0"/>
                <w:i w:val="0"/>
                <w:color w:val="4A4A4A"/>
                <w:sz w:val="19"/>
              </w:rPr>
              <w:t>2</w:t>
            </w:r>
          </w:p>
        </w:tc>
        <w:tc>
          <w:tcPr>
            <w:tcW w:type="dxa" w:w="2556"/>
            <w:shd w:val="clear" w:fill="FFFFFF"/>
          </w:tcPr>
          <w:p>
            <w:r/>
            <w:r>
              <w:rPr>
                <w:rFonts w:ascii="Calibri" w:hAnsi="Calibri"/>
                <w:b w:val="0"/>
                <w:i w:val="0"/>
                <w:color w:val="4A4A4A"/>
                <w:sz w:val="19"/>
              </w:rPr>
              <w:t>5. Reflect and commit (2 minutes)</w:t>
            </w:r>
          </w:p>
        </w:tc>
        <w:tc>
          <w:tcPr>
            <w:tcW w:type="dxa" w:w="2556"/>
            <w:shd w:val="clear" w:fill="FFFFFF"/>
          </w:tcPr>
          <w:p>
            <w:r/>
            <w:r>
              <w:rPr>
                <w:rFonts w:ascii="Calibri" w:hAnsi="Calibri"/>
                <w:b w:val="0"/>
                <w:i w:val="0"/>
                <w:color w:val="4A4A4A"/>
                <w:sz w:val="19"/>
              </w:rPr>
              <w:t>Have students respond to one of the following:  - "The norm I will work on first is ___." - "My move when I am tempted to quit will be ___."  Take two shares.</w:t>
            </w:r>
          </w:p>
        </w:tc>
      </w:tr>
    </w:tbl>
    <w:p/>
    <w:p>
      <w:r>
        <w:rPr>
          <w:rFonts w:ascii="Arial Narrow" w:hAnsi="Arial Narrow"/>
          <w:b/>
          <w:i w:val="0"/>
          <w:color w:val="E21C24"/>
          <w:sz w:val="26"/>
        </w:rPr>
        <w:t>TEACHER LANGUAGE TO PRESERVE</w:t>
      </w:r>
    </w:p>
    <w:p>
      <w:pPr>
        <w:pStyle w:val="ListBullet"/>
      </w:pPr>
      <w:r>
        <w:rPr>
          <w:rFonts w:ascii="Calibri" w:hAnsi="Calibri"/>
          <w:b w:val="0"/>
          <w:i w:val="0"/>
          <w:color w:val="4A4A4A"/>
          <w:sz w:val="22"/>
        </w:rPr>
        <w:t>"Show me what Safe looks like here."</w:t>
      </w:r>
    </w:p>
    <w:p>
      <w:pPr>
        <w:pStyle w:val="ListBullet"/>
      </w:pPr>
      <w:r>
        <w:rPr>
          <w:rFonts w:ascii="Calibri" w:hAnsi="Calibri"/>
          <w:b w:val="0"/>
          <w:i w:val="0"/>
          <w:color w:val="4A4A4A"/>
          <w:sz w:val="22"/>
        </w:rPr>
        <w:t>"Let's make Respectful observable."</w:t>
      </w:r>
    </w:p>
    <w:p>
      <w:pPr>
        <w:pStyle w:val="ListBullet"/>
      </w:pPr>
      <w:r>
        <w:rPr>
          <w:rFonts w:ascii="Calibri" w:hAnsi="Calibri"/>
          <w:b w:val="0"/>
          <w:i w:val="0"/>
          <w:color w:val="4A4A4A"/>
          <w:sz w:val="22"/>
        </w:rPr>
        <w:t>"Responsible means we know the next move and do it without waiting for repeated reminders."</w:t>
      </w:r>
    </w:p>
    <w:p>
      <w:pPr>
        <w:pStyle w:val="ListBullet"/>
      </w:pPr>
      <w:r>
        <w:rPr>
          <w:rFonts w:ascii="Calibri" w:hAnsi="Calibri"/>
          <w:b w:val="0"/>
          <w:i w:val="0"/>
          <w:color w:val="4A4A4A"/>
          <w:sz w:val="22"/>
        </w:rPr>
        <w:t>"Reset. Walk it again."</w:t>
      </w:r>
    </w:p>
    <w:p>
      <w:pPr>
        <w:pStyle w:val="ListBullet"/>
      </w:pPr>
      <w:r>
        <w:rPr>
          <w:rFonts w:ascii="Calibri" w:hAnsi="Calibri"/>
          <w:b w:val="0"/>
          <w:i w:val="0"/>
          <w:color w:val="4A4A4A"/>
          <w:sz w:val="22"/>
        </w:rPr>
        <w:t>Preserve any exact quoted lines from the source section above.</w:t>
      </w:r>
    </w:p>
    <w:p>
      <w:r>
        <w:rPr>
          <w:rFonts w:ascii="Arial Narrow" w:hAnsi="Arial Narrow"/>
          <w:b/>
          <w:i w:val="0"/>
          <w:color w:val="E21C24"/>
          <w:sz w:val="26"/>
        </w:rPr>
        <w:t>CHECKS FOR UNDERSTANDING</w:t>
      </w:r>
    </w:p>
    <w:p>
      <w:pPr>
        <w:pStyle w:val="ListBullet"/>
      </w:pPr>
      <w:r>
        <w:rPr>
          <w:rFonts w:ascii="Calibri" w:hAnsi="Calibri"/>
          <w:b w:val="0"/>
          <w:i w:val="0"/>
          <w:color w:val="4A4A4A"/>
          <w:sz w:val="22"/>
        </w:rPr>
        <w:t>Students can name the move or routine.</w:t>
      </w:r>
    </w:p>
    <w:p>
      <w:pPr>
        <w:pStyle w:val="ListBullet"/>
      </w:pPr>
      <w:r>
        <w:rPr>
          <w:rFonts w:ascii="Calibri" w:hAnsi="Calibri"/>
          <w:b w:val="0"/>
          <w:i w:val="0"/>
          <w:color w:val="4A4A4A"/>
          <w:sz w:val="22"/>
        </w:rPr>
        <w:t>Students can show it with their bodies, words, or materials.</w:t>
      </w:r>
    </w:p>
    <w:p>
      <w:pPr>
        <w:pStyle w:val="ListBullet"/>
      </w:pPr>
      <w:r>
        <w:rPr>
          <w:rFonts w:ascii="Calibri" w:hAnsi="Calibri"/>
          <w:b w:val="0"/>
          <w:i w:val="0"/>
          <w:color w:val="4A4A4A"/>
          <w:sz w:val="22"/>
        </w:rPr>
        <w:t>Students can explain how it supports Safe, Respectful, or Responsible.</w:t>
      </w:r>
    </w:p>
    <w:p>
      <w:pPr>
        <w:pStyle w:val="ListBullet"/>
      </w:pPr>
      <w:r>
        <w:rPr>
          <w:rFonts w:ascii="Calibri" w:hAnsi="Calibri"/>
          <w:b w:val="0"/>
          <w:i w:val="0"/>
          <w:color w:val="4A4A4A"/>
          <w:sz w:val="22"/>
        </w:rPr>
        <w:t>Students can accept correction and re-practice immediately.</w:t>
      </w:r>
    </w:p>
    <w:p>
      <w:r>
        <w:rPr>
          <w:rFonts w:ascii="Arial Narrow" w:hAnsi="Arial Narrow"/>
          <w:b/>
          <w:i w:val="0"/>
          <w:color w:val="E21C24"/>
          <w:sz w:val="26"/>
        </w:rPr>
        <w:t>KEY POINTS</w:t>
      </w:r>
    </w:p>
    <w:p>
      <w:pPr>
        <w:pStyle w:val="ListBullet"/>
      </w:pPr>
      <w:r>
        <w:rPr>
          <w:rFonts w:ascii="Calibri" w:hAnsi="Calibri"/>
          <w:b w:val="0"/>
          <w:i w:val="0"/>
          <w:color w:val="4A4A4A"/>
          <w:sz w:val="22"/>
        </w:rPr>
        <w:t>Four norms: voice 0, in seat, eyes on work, sustained effort.</w:t>
      </w:r>
    </w:p>
    <w:p>
      <w:pPr>
        <w:pStyle w:val="ListBullet"/>
      </w:pPr>
      <w:r>
        <w:rPr>
          <w:rFonts w:ascii="Calibri" w:hAnsi="Calibri"/>
          <w:b w:val="0"/>
          <w:i w:val="0"/>
          <w:color w:val="4A4A4A"/>
          <w:sz w:val="22"/>
        </w:rPr>
        <w:t>Independent work is a mode. Other modes have different rules. Listen for the cue.</w:t>
      </w:r>
    </w:p>
    <w:p>
      <w:pPr>
        <w:pStyle w:val="ListBullet"/>
      </w:pPr>
      <w:r>
        <w:rPr>
          <w:rFonts w:ascii="Calibri" w:hAnsi="Calibri"/>
          <w:b w:val="0"/>
          <w:i w:val="0"/>
          <w:color w:val="4A4A4A"/>
          <w:sz w:val="22"/>
        </w:rPr>
        <w:t>Sustained effort is a muscle. Every block builds it.</w:t>
      </w:r>
    </w:p>
    <w:p>
      <w:pPr>
        <w:pStyle w:val="ListBullet"/>
      </w:pPr>
      <w:r>
        <w:rPr>
          <w:rFonts w:ascii="Calibri" w:hAnsi="Calibri"/>
          <w:b w:val="0"/>
          <w:i w:val="0"/>
          <w:color w:val="4A4A4A"/>
          <w:sz w:val="22"/>
        </w:rPr>
        <w:t>The zone is real. We practice it here.</w:t>
      </w:r>
    </w:p>
    <w:p>
      <w:r>
        <w:rPr>
          <w:rFonts w:ascii="Arial Narrow" w:hAnsi="Arial Narrow"/>
          <w:b/>
          <w:i w:val="0"/>
          <w:color w:val="E21C24"/>
          <w:sz w:val="26"/>
        </w:rPr>
        <w:t>GRADE-BAND ADAPTATIONS</w:t>
      </w:r>
    </w:p>
    <w:tbl>
      <w:tblPr>
        <w:tblStyle w:val="TableGrid"/>
        <w:tblW w:type="auto" w:w="0"/>
        <w:tblLook w:firstColumn="1" w:firstRow="1" w:lastColumn="0" w:lastRow="0" w:noHBand="0" w:noVBand="1" w:val="04A0"/>
      </w:tblPr>
      <w:tblGrid>
        <w:gridCol w:w="5112"/>
        <w:gridCol w:w="5112"/>
      </w:tblGrid>
      <w:tr>
        <w:tc>
          <w:tcPr>
            <w:tcW w:type="dxa" w:w="5112"/>
            <w:shd w:val="clear" w:fill="1A1A1A"/>
          </w:tcPr>
          <w:p>
            <w:r/>
            <w:r>
              <w:rPr>
                <w:rFonts w:ascii="Calibri" w:hAnsi="Calibri"/>
                <w:b/>
                <w:i w:val="0"/>
                <w:color w:val="FFFFFF"/>
                <w:sz w:val="19"/>
              </w:rPr>
              <w:t>Grade band</w:t>
            </w:r>
          </w:p>
        </w:tc>
        <w:tc>
          <w:tcPr>
            <w:tcW w:type="dxa" w:w="5112"/>
            <w:shd w:val="clear" w:fill="1A1A1A"/>
          </w:tcPr>
          <w:p>
            <w:r/>
            <w:r>
              <w:rPr>
                <w:rFonts w:ascii="Calibri" w:hAnsi="Calibri"/>
                <w:b/>
                <w:i w:val="0"/>
                <w:color w:val="FFFFFF"/>
                <w:sz w:val="19"/>
              </w:rPr>
              <w:t>Adjustment</w:t>
            </w:r>
          </w:p>
        </w:tc>
      </w:tr>
      <w:tr>
        <w:tc>
          <w:tcPr>
            <w:tcW w:type="dxa" w:w="5112"/>
            <w:shd w:val="clear" w:fill="FFFFFF"/>
          </w:tcPr>
          <w:p>
            <w:r/>
            <w:r>
              <w:rPr>
                <w:rFonts w:ascii="Calibri" w:hAnsi="Calibri"/>
                <w:b w:val="0"/>
                <w:i w:val="0"/>
                <w:color w:val="4A4A4A"/>
                <w:sz w:val="19"/>
              </w:rPr>
              <w:t>K-2</w:t>
            </w:r>
          </w:p>
        </w:tc>
        <w:tc>
          <w:tcPr>
            <w:tcW w:type="dxa" w:w="5112"/>
            <w:shd w:val="clear" w:fill="FFFFFF"/>
          </w:tcPr>
          <w:p>
            <w:r/>
            <w:r>
              <w:rPr>
                <w:rFonts w:ascii="Calibri" w:hAnsi="Calibri"/>
                <w:b w:val="0"/>
                <w:i w:val="0"/>
                <w:color w:val="4A4A4A"/>
                <w:sz w:val="19"/>
              </w:rPr>
              <w:t>Reduce the practice block from 5 minutes to 3. Use a sand timer or visible countdown. Replace the "sustained effort" norm with "keep trying." Add a body cue (pointer finger on the paper) to anchor eyes-on-work.</w:t>
            </w:r>
          </w:p>
        </w:tc>
      </w:tr>
      <w:tr>
        <w:tc>
          <w:tcPr>
            <w:tcW w:type="dxa" w:w="5112"/>
            <w:shd w:val="clear" w:fill="F6F6F4"/>
          </w:tcPr>
          <w:p>
            <w:r/>
            <w:r>
              <w:rPr>
                <w:rFonts w:ascii="Calibri" w:hAnsi="Calibri"/>
                <w:b w:val="0"/>
                <w:i w:val="0"/>
                <w:color w:val="4A4A4A"/>
                <w:sz w:val="19"/>
              </w:rPr>
              <w:t>3-5</w:t>
            </w:r>
          </w:p>
        </w:tc>
        <w:tc>
          <w:tcPr>
            <w:tcW w:type="dxa" w:w="5112"/>
            <w:shd w:val="clear" w:fill="F6F6F4"/>
          </w:tcPr>
          <w:p>
            <w:r/>
            <w:r>
              <w:rPr>
                <w:rFonts w:ascii="Calibri" w:hAnsi="Calibri"/>
                <w:b w:val="0"/>
                <w:i w:val="0"/>
                <w:color w:val="4A4A4A"/>
                <w:sz w:val="19"/>
              </w:rPr>
              <w:t>Run the lesson as written. Add a partner debrief at the close: students compare their minute-1, minute-3, minute-5 experiences.</w:t>
            </w:r>
          </w:p>
        </w:tc>
      </w:tr>
      <w:tr>
        <w:tc>
          <w:tcPr>
            <w:tcW w:type="dxa" w:w="5112"/>
            <w:shd w:val="clear" w:fill="FFFFFF"/>
          </w:tcPr>
          <w:p>
            <w:r/>
            <w:r>
              <w:rPr>
                <w:rFonts w:ascii="Calibri" w:hAnsi="Calibri"/>
                <w:b w:val="0"/>
                <w:i w:val="0"/>
                <w:color w:val="4A4A4A"/>
                <w:sz w:val="19"/>
              </w:rPr>
              <w:t>6-8</w:t>
            </w:r>
          </w:p>
        </w:tc>
        <w:tc>
          <w:tcPr>
            <w:tcW w:type="dxa" w:w="5112"/>
            <w:shd w:val="clear" w:fill="FFFFFF"/>
          </w:tcPr>
          <w:p>
            <w:r/>
            <w:r>
              <w:rPr>
                <w:rFonts w:ascii="Calibri" w:hAnsi="Calibri"/>
                <w:b w:val="0"/>
                <w:i w:val="0"/>
                <w:color w:val="4A4A4A"/>
                <w:sz w:val="19"/>
              </w:rPr>
              <w:t>Extend the practice block to 8 minutes. Open with the "zone" discussion in greater depth - name dopamine, focus, and flow as concepts. Add a question: "What kills focus for you? Phone? Music? Other people?" The answer becomes data for the teacher on classroom design.</w:t>
            </w:r>
          </w:p>
        </w:tc>
      </w:tr>
    </w:tbl>
    <w:p/>
    <w:p>
      <w:r>
        <w:rPr>
          <w:rFonts w:ascii="Arial Narrow" w:hAnsi="Arial Narrow"/>
          <w:b/>
          <w:i w:val="0"/>
          <w:color w:val="E21C24"/>
          <w:sz w:val="26"/>
        </w:rPr>
        <w:t>AFTER THE LESSON</w:t>
      </w:r>
    </w:p>
    <w:p>
      <w:r>
        <w:rPr>
          <w:rFonts w:ascii="Calibri" w:hAnsi="Calibri"/>
          <w:b w:val="0"/>
          <w:i w:val="0"/>
          <w:color w:val="4A4A4A"/>
          <w:sz w:val="22"/>
        </w:rPr>
        <w:t>Cue "independent work" by name at the start of every independent block. Hold the four norms. If a norm slips for more than two students at the same time, the block has drifted - pause, name the norm that has slipped, and restart the block. Track average independent work block length over the first 30 days. A class that sustains 15 minutes of voice-0 in-seat work by Day 10 has consolidated the routine. A class that cannot sustain more than 5 minutes needs the norms re-taught at morning meeting.</w:t>
      </w:r>
    </w:p>
    <w:p>
      <w:r>
        <w:rPr>
          <w:rFonts w:ascii="Arial Narrow" w:hAnsi="Arial Narrow"/>
          <w:b/>
          <w:i w:val="0"/>
          <w:color w:val="E21C24"/>
          <w:sz w:val="32"/>
        </w:rPr>
        <w:t>COACHING SUPPORTS — ALIGNED TO STAFF SESSION 1 (CAR)</w:t>
      </w:r>
    </w:p>
    <w:p>
      <w:r>
        <w:rPr>
          <w:rFonts w:ascii="Calibri" w:hAnsi="Calibri"/>
          <w:b w:val="0"/>
          <w:i w:val="0"/>
          <w:color w:val="4A4A4A"/>
          <w:sz w:val="22"/>
        </w:rPr>
        <w:t>This student lesson is the practice ground for the adult moves trained in Staff Session 1. When this routine breaks, the adult chooses one responsive move, says it in ten words or fewer, and names the route back to learning.</w:t>
      </w:r>
    </w:p>
    <w:p>
      <w:r>
        <w:rPr>
          <w:rFonts w:ascii="Calibri" w:hAnsi="Calibri"/>
          <w:b/>
          <w:i/>
          <w:color w:val="1A1A1A"/>
          <w:sz w:val="22"/>
        </w:rPr>
        <w:t>CAR is not a label for the student. CAR is a decision point for the adult.</w:t>
      </w:r>
    </w:p>
    <w:tbl>
      <w:tblPr>
        <w:tblStyle w:val="TableGrid"/>
        <w:tblW w:type="auto" w:w="0"/>
        <w:tblLook w:firstColumn="1" w:firstRow="1" w:lastColumn="0" w:lastRow="0" w:noHBand="0" w:noVBand="1" w:val="04A0"/>
      </w:tblPr>
      <w:tblGrid>
        <w:gridCol w:w="3408"/>
        <w:gridCol w:w="3408"/>
        <w:gridCol w:w="3408"/>
      </w:tblGrid>
      <w:tr>
        <w:tc>
          <w:tcPr>
            <w:tcW w:type="dxa" w:w="3408"/>
            <w:shd w:val="clear" w:fill="1A1A1A"/>
          </w:tcPr>
          <w:p>
            <w:r/>
            <w:r>
              <w:rPr>
                <w:rFonts w:ascii="Calibri" w:hAnsi="Calibri"/>
                <w:b/>
                <w:i w:val="0"/>
                <w:color w:val="FFFFFF"/>
                <w:sz w:val="19"/>
              </w:rPr>
              <w:t>Move</w:t>
            </w:r>
          </w:p>
        </w:tc>
        <w:tc>
          <w:tcPr>
            <w:tcW w:type="dxa" w:w="3408"/>
            <w:shd w:val="clear" w:fill="1A1A1A"/>
          </w:tcPr>
          <w:p>
            <w:r/>
            <w:r>
              <w:rPr>
                <w:rFonts w:ascii="Calibri" w:hAnsi="Calibri"/>
                <w:b/>
                <w:i w:val="0"/>
                <w:color w:val="FFFFFF"/>
                <w:sz w:val="19"/>
              </w:rPr>
              <w:t>Adult asks</w:t>
            </w:r>
          </w:p>
        </w:tc>
        <w:tc>
          <w:tcPr>
            <w:tcW w:type="dxa" w:w="3408"/>
            <w:shd w:val="clear" w:fill="1A1A1A"/>
          </w:tcPr>
          <w:p>
            <w:r/>
            <w:r>
              <w:rPr>
                <w:rFonts w:ascii="Calibri" w:hAnsi="Calibri"/>
                <w:b/>
                <w:i w:val="0"/>
                <w:color w:val="FFFFFF"/>
                <w:sz w:val="19"/>
              </w:rPr>
              <w:t>Adult moves</w:t>
            </w:r>
          </w:p>
        </w:tc>
      </w:tr>
      <w:tr>
        <w:tc>
          <w:tcPr>
            <w:tcW w:type="dxa" w:w="3408"/>
            <w:shd w:val="clear" w:fill="FFFFFF"/>
          </w:tcPr>
          <w:p>
            <w:r/>
            <w:r>
              <w:rPr>
                <w:rFonts w:ascii="Calibri" w:hAnsi="Calibri"/>
                <w:b w:val="0"/>
                <w:i w:val="0"/>
                <w:color w:val="4A4A4A"/>
                <w:sz w:val="19"/>
              </w:rPr>
              <w:t>CLARITY</w:t>
            </w:r>
          </w:p>
        </w:tc>
        <w:tc>
          <w:tcPr>
            <w:tcW w:type="dxa" w:w="3408"/>
            <w:shd w:val="clear" w:fill="FFFFFF"/>
          </w:tcPr>
          <w:p>
            <w:r/>
            <w:r>
              <w:rPr>
                <w:rFonts w:ascii="Calibri" w:hAnsi="Calibri"/>
                <w:b w:val="0"/>
                <w:i w:val="0"/>
                <w:color w:val="4A4A4A"/>
                <w:sz w:val="19"/>
              </w:rPr>
              <w:t>Make the next step visible.</w:t>
            </w:r>
          </w:p>
        </w:tc>
        <w:tc>
          <w:tcPr>
            <w:tcW w:type="dxa" w:w="3408"/>
            <w:shd w:val="clear" w:fill="FFFFFF"/>
          </w:tcPr>
          <w:p>
            <w:r/>
            <w:r>
              <w:rPr>
                <w:rFonts w:ascii="Calibri" w:hAnsi="Calibri"/>
                <w:b w:val="0"/>
                <w:i w:val="0"/>
                <w:color w:val="4A4A4A"/>
                <w:sz w:val="19"/>
              </w:rPr>
              <w:t>restate, model, cue, point to a visual, rehearse, give one observable next step</w:t>
            </w:r>
          </w:p>
        </w:tc>
      </w:tr>
      <w:tr>
        <w:tc>
          <w:tcPr>
            <w:tcW w:type="dxa" w:w="3408"/>
            <w:shd w:val="clear" w:fill="F6F6F4"/>
          </w:tcPr>
          <w:p>
            <w:r/>
            <w:r>
              <w:rPr>
                <w:rFonts w:ascii="Calibri" w:hAnsi="Calibri"/>
                <w:b w:val="0"/>
                <w:i w:val="0"/>
                <w:color w:val="4A4A4A"/>
                <w:sz w:val="19"/>
              </w:rPr>
              <w:t>ACCESS</w:t>
            </w:r>
          </w:p>
        </w:tc>
        <w:tc>
          <w:tcPr>
            <w:tcW w:type="dxa" w:w="3408"/>
            <w:shd w:val="clear" w:fill="F6F6F4"/>
          </w:tcPr>
          <w:p>
            <w:r/>
            <w:r>
              <w:rPr>
                <w:rFonts w:ascii="Calibri" w:hAnsi="Calibri"/>
                <w:b w:val="0"/>
                <w:i w:val="0"/>
                <w:color w:val="4A4A4A"/>
                <w:sz w:val="19"/>
              </w:rPr>
              <w:t>Open a path to start, continue, or rejoin.</w:t>
            </w:r>
          </w:p>
        </w:tc>
        <w:tc>
          <w:tcPr>
            <w:tcW w:type="dxa" w:w="3408"/>
            <w:shd w:val="clear" w:fill="F6F6F4"/>
          </w:tcPr>
          <w:p>
            <w:r/>
            <w:r>
              <w:rPr>
                <w:rFonts w:ascii="Calibri" w:hAnsi="Calibri"/>
                <w:b w:val="0"/>
                <w:i w:val="0"/>
                <w:color w:val="4A4A4A"/>
                <w:sz w:val="19"/>
              </w:rPr>
              <w:t>scaffold, reduce the entry point, offer two choices, give a role, do the first step together, build a return path</w:t>
            </w:r>
          </w:p>
        </w:tc>
      </w:tr>
      <w:tr>
        <w:tc>
          <w:tcPr>
            <w:tcW w:type="dxa" w:w="3408"/>
            <w:shd w:val="clear" w:fill="FFFFFF"/>
          </w:tcPr>
          <w:p>
            <w:r/>
            <w:r>
              <w:rPr>
                <w:rFonts w:ascii="Calibri" w:hAnsi="Calibri"/>
                <w:b w:val="0"/>
                <w:i w:val="0"/>
                <w:color w:val="4A4A4A"/>
                <w:sz w:val="19"/>
              </w:rPr>
              <w:t>REGULATION</w:t>
            </w:r>
          </w:p>
        </w:tc>
        <w:tc>
          <w:tcPr>
            <w:tcW w:type="dxa" w:w="3408"/>
            <w:shd w:val="clear" w:fill="FFFFFF"/>
          </w:tcPr>
          <w:p>
            <w:r/>
            <w:r>
              <w:rPr>
                <w:rFonts w:ascii="Calibri" w:hAnsi="Calibri"/>
                <w:b w:val="0"/>
                <w:i w:val="0"/>
                <w:color w:val="4A4A4A"/>
                <w:sz w:val="19"/>
              </w:rPr>
              <w:t>Lower the pressure before problem-solving.</w:t>
            </w:r>
          </w:p>
        </w:tc>
        <w:tc>
          <w:tcPr>
            <w:tcW w:type="dxa" w:w="3408"/>
            <w:shd w:val="clear" w:fill="FFFFFF"/>
          </w:tcPr>
          <w:p>
            <w:r/>
            <w:r>
              <w:rPr>
                <w:rFonts w:ascii="Calibri" w:hAnsi="Calibri"/>
                <w:b w:val="0"/>
                <w:i w:val="0"/>
                <w:color w:val="4A4A4A"/>
                <w:sz w:val="19"/>
              </w:rPr>
              <w:t>reduce words, reduce audience, offer a reset, give time/space, two safe choices, problem-solve later</w:t>
            </w:r>
          </w:p>
        </w:tc>
      </w:tr>
    </w:tbl>
    <w:p/>
    <w:p>
      <w:r>
        <w:rPr>
          <w:rFonts w:ascii="Arial Narrow" w:hAnsi="Arial Narrow"/>
          <w:b/>
          <w:i w:val="0"/>
          <w:color w:val="1A1A1A"/>
          <w:sz w:val="25"/>
        </w:rPr>
        <w:t>ADULT RESPONSIVE DECISION SEQUENCE</w:t>
      </w:r>
    </w:p>
    <w:p>
      <w:pPr>
        <w:pStyle w:val="ListNumber"/>
      </w:pPr>
      <w:r>
        <w:rPr>
          <w:rFonts w:ascii="Calibri" w:hAnsi="Calibri"/>
          <w:b w:val="0"/>
          <w:i w:val="0"/>
          <w:color w:val="4A4A4A"/>
          <w:sz w:val="21"/>
        </w:rPr>
        <w:t>What happened? (low-inference observation only)</w:t>
      </w:r>
    </w:p>
    <w:p>
      <w:pPr>
        <w:pStyle w:val="ListNumber"/>
      </w:pPr>
      <w:r>
        <w:rPr>
          <w:rFonts w:ascii="Calibri" w:hAnsi="Calibri"/>
          <w:b w:val="0"/>
          <w:i w:val="0"/>
          <w:color w:val="4A4A4A"/>
          <w:sz w:val="21"/>
        </w:rPr>
        <w:t>Which expectation is connected? (Safe, Respectful, Responsible)</w:t>
      </w:r>
    </w:p>
    <w:p>
      <w:pPr>
        <w:pStyle w:val="ListNumber"/>
      </w:pPr>
      <w:r>
        <w:rPr>
          <w:rFonts w:ascii="Calibri" w:hAnsi="Calibri"/>
          <w:b w:val="0"/>
          <w:i w:val="0"/>
          <w:color w:val="4A4A4A"/>
          <w:sz w:val="21"/>
        </w:rPr>
        <w:t>Which responsive move fits? (Clarity, Access, Regulation)</w:t>
      </w:r>
    </w:p>
    <w:p>
      <w:pPr>
        <w:pStyle w:val="ListNumber"/>
      </w:pPr>
      <w:r>
        <w:rPr>
          <w:rFonts w:ascii="Calibri" w:hAnsi="Calibri"/>
          <w:b w:val="0"/>
          <w:i w:val="0"/>
          <w:color w:val="4A4A4A"/>
          <w:sz w:val="21"/>
        </w:rPr>
        <w:t>What is the lowest effective adult move?</w:t>
      </w:r>
    </w:p>
    <w:p>
      <w:pPr>
        <w:pStyle w:val="ListNumber"/>
      </w:pPr>
      <w:r>
        <w:rPr>
          <w:rFonts w:ascii="Calibri" w:hAnsi="Calibri"/>
          <w:b w:val="0"/>
          <w:i w:val="0"/>
          <w:color w:val="4A4A4A"/>
          <w:sz w:val="21"/>
        </w:rPr>
        <w:t>What is the 10-word adult script?</w:t>
      </w:r>
    </w:p>
    <w:p>
      <w:pPr>
        <w:pStyle w:val="ListNumber"/>
      </w:pPr>
      <w:r>
        <w:rPr>
          <w:rFonts w:ascii="Calibri" w:hAnsi="Calibri"/>
          <w:b w:val="0"/>
          <w:i w:val="0"/>
          <w:color w:val="4A4A4A"/>
          <w:sz w:val="21"/>
        </w:rPr>
        <w:t>What wrong turn am I avoiding?</w:t>
      </w:r>
    </w:p>
    <w:p>
      <w:pPr>
        <w:pStyle w:val="ListNumber"/>
      </w:pPr>
      <w:r>
        <w:rPr>
          <w:rFonts w:ascii="Calibri" w:hAnsi="Calibri"/>
          <w:b w:val="0"/>
          <w:i w:val="0"/>
          <w:color w:val="4A4A4A"/>
          <w:sz w:val="21"/>
        </w:rPr>
        <w:t>What is the route back to learning?</w:t>
      </w:r>
    </w:p>
    <w:p>
      <w:pPr>
        <w:pStyle w:val="ListNumber"/>
      </w:pPr>
      <w:r>
        <w:rPr>
          <w:rFonts w:ascii="Calibri" w:hAnsi="Calibri"/>
          <w:b w:val="0"/>
          <w:i w:val="0"/>
          <w:color w:val="4A4A4A"/>
          <w:sz w:val="21"/>
        </w:rPr>
        <w:t>What evidence will I recognize when the student returns?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