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OBSERVABLE BEHAVIOR MATRIX BY GRADE BAND</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Culture Spine</w:t>
      </w:r>
    </w:p>
    <w:p>
      <w:r>
        <w:rPr>
          <w:rFonts w:ascii="Arial Narrow" w:hAnsi="Arial Narrow"/>
          <w:b/>
          <w:i w:val="0"/>
          <w:color w:val="E21C24"/>
          <w:sz w:val="26"/>
        </w:rPr>
        <w:t>TEACHER PURPOSE</w:t>
      </w:r>
    </w:p>
    <w:p>
      <w:r>
        <w:rPr>
          <w:rFonts w:ascii="Calibri" w:hAnsi="Calibri"/>
          <w:b w:val="0"/>
          <w:i w:val="0"/>
          <w:color w:val="4A4A4A"/>
          <w:sz w:val="22"/>
        </w:rPr>
        <w:t>Students cannot meet expectations they have not seen named. Be safe is not enough. Walk on the right side of the hallway with your hands at your sides is enough. The Observable Behavior Matrix is the move from doctrine to observable. It also separates K-2 expectations from 6-8 expectations so the right developmental ask is on the table - a kindergartener showing safe is not the same as an eighth grader showing safe, and the matrix says so.</w:t>
      </w:r>
    </w:p>
    <w:p>
      <w:r>
        <w:rPr>
          <w:rFonts w:ascii="Arial Narrow" w:hAnsi="Arial Narrow"/>
          <w:b/>
          <w:i w:val="0"/>
          <w:color w:val="E21C24"/>
          <w:sz w:val="26"/>
        </w:rPr>
        <w:t>STUDENT OUTCOMES</w:t>
      </w:r>
    </w:p>
    <w:p>
      <w:pPr>
        <w:pStyle w:val="ListBullet"/>
      </w:pPr>
      <w:r>
        <w:rPr>
          <w:rFonts w:ascii="Calibri" w:hAnsi="Calibri"/>
          <w:b w:val="0"/>
          <w:i w:val="0"/>
          <w:color w:val="4A4A4A"/>
          <w:sz w:val="22"/>
        </w:rPr>
        <w:t>Read at least one row of the Observable Behavior Matrix for their grade band.</w:t>
      </w:r>
    </w:p>
    <w:p>
      <w:pPr>
        <w:pStyle w:val="ListBullet"/>
      </w:pPr>
      <w:r>
        <w:rPr>
          <w:rFonts w:ascii="Calibri" w:hAnsi="Calibri"/>
          <w:b w:val="0"/>
          <w:i w:val="0"/>
          <w:color w:val="4A4A4A"/>
          <w:sz w:val="22"/>
        </w:rPr>
        <w:t>Demonstrate two observable behaviors from the matrix in their own body.</w:t>
      </w:r>
    </w:p>
    <w:p>
      <w:pPr>
        <w:pStyle w:val="ListBullet"/>
      </w:pPr>
      <w:r>
        <w:rPr>
          <w:rFonts w:ascii="Calibri" w:hAnsi="Calibri"/>
          <w:b w:val="0"/>
          <w:i w:val="0"/>
          <w:color w:val="4A4A4A"/>
          <w:sz w:val="22"/>
        </w:rPr>
        <w:t>Explain that the matrix is not a punishment list - it is a coaching list.</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0:00–0:04</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1. Hook: "What does it look like?"</w:t>
            </w:r>
          </w:p>
        </w:tc>
        <w:tc>
          <w:tcPr>
            <w:tcW w:type="dxa" w:w="2556"/>
            <w:shd w:val="clear" w:fill="FFFFFF"/>
          </w:tcPr>
          <w:p>
            <w:r/>
            <w:r>
              <w:rPr>
                <w:rFonts w:ascii="Calibri" w:hAnsi="Calibri"/>
                <w:b w:val="0"/>
                <w:i w:val="0"/>
                <w:color w:val="4A4A4A"/>
                <w:sz w:val="19"/>
              </w:rPr>
              <w:t>Ask: "Yesterday I said our class would be safe. If a visitor walked in right now, how would they know? What would they see?"  Take 3-4 responses. Push past "we'd be quiet" - that is invisible. Push toward observable: "You'd see our hands on the desk. You'd see eyes on the speaker."  Land the line: "That is what the Observable Behavior Matrix is. It tells us what safe, respectful, responsible look like - so we can all see them, not just feel them."</w:t>
            </w:r>
          </w:p>
        </w:tc>
      </w:tr>
      <w:tr>
        <w:tc>
          <w:tcPr>
            <w:tcW w:type="dxa" w:w="2556"/>
            <w:shd w:val="clear" w:fill="F6F6F4"/>
          </w:tcPr>
          <w:p>
            <w:r/>
            <w:r>
              <w:rPr>
                <w:rFonts w:ascii="Calibri" w:hAnsi="Calibri"/>
                <w:b w:val="0"/>
                <w:i w:val="0"/>
                <w:color w:val="4A4A4A"/>
                <w:sz w:val="19"/>
              </w:rPr>
              <w:t>0:04–0:12</w:t>
            </w:r>
          </w:p>
        </w:tc>
        <w:tc>
          <w:tcPr>
            <w:tcW w:type="dxa" w:w="2556"/>
            <w:shd w:val="clear" w:fill="F6F6F4"/>
          </w:tcPr>
          <w:p>
            <w:r/>
            <w:r>
              <w:rPr>
                <w:rFonts w:ascii="Calibri" w:hAnsi="Calibri"/>
                <w:b w:val="0"/>
                <w:i w:val="0"/>
                <w:color w:val="4A4A4A"/>
                <w:sz w:val="19"/>
              </w:rPr>
              <w:t>8</w:t>
            </w:r>
          </w:p>
        </w:tc>
        <w:tc>
          <w:tcPr>
            <w:tcW w:type="dxa" w:w="2556"/>
            <w:shd w:val="clear" w:fill="F6F6F4"/>
          </w:tcPr>
          <w:p>
            <w:r/>
            <w:r>
              <w:rPr>
                <w:rFonts w:ascii="Calibri" w:hAnsi="Calibri"/>
                <w:b w:val="0"/>
                <w:i w:val="0"/>
                <w:color w:val="4A4A4A"/>
                <w:sz w:val="19"/>
              </w:rPr>
              <w:t>2. Read the matrix together</w:t>
            </w:r>
          </w:p>
        </w:tc>
        <w:tc>
          <w:tcPr>
            <w:tcW w:type="dxa" w:w="2556"/>
            <w:shd w:val="clear" w:fill="F6F6F4"/>
          </w:tcPr>
          <w:p>
            <w:r/>
            <w:r>
              <w:rPr>
                <w:rFonts w:ascii="Calibri" w:hAnsi="Calibri"/>
                <w:b w:val="0"/>
                <w:i w:val="0"/>
                <w:color w:val="4A4A4A"/>
                <w:sz w:val="19"/>
              </w:rPr>
              <w:t>Use the row that matches your grade band. The full matrix lives in 17_SCHOOLWIDE_ROUTINES/Grade_Band_Routine_Overlays.md.</w:t>
            </w:r>
          </w:p>
        </w:tc>
      </w:tr>
      <w:tr>
        <w:tc>
          <w:tcPr>
            <w:tcW w:type="dxa" w:w="2556"/>
            <w:shd w:val="clear" w:fill="FFFFFF"/>
          </w:tcPr>
          <w:p>
            <w:r/>
            <w:r>
              <w:rPr>
                <w:rFonts w:ascii="Calibri" w:hAnsi="Calibri"/>
                <w:b w:val="0"/>
                <w:i w:val="0"/>
                <w:color w:val="4A4A4A"/>
                <w:sz w:val="19"/>
              </w:rPr>
              <w:t>0:12–0:20</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Show me the move</w:t>
            </w:r>
          </w:p>
        </w:tc>
        <w:tc>
          <w:tcPr>
            <w:tcW w:type="dxa" w:w="2556"/>
            <w:shd w:val="clear" w:fill="FFFFFF"/>
          </w:tcPr>
          <w:p>
            <w:r/>
            <w:r>
              <w:rPr>
                <w:rFonts w:ascii="Calibri" w:hAnsi="Calibri"/>
                <w:b w:val="0"/>
                <w:i w:val="0"/>
                <w:color w:val="4A4A4A"/>
                <w:sz w:val="19"/>
              </w:rPr>
              <w:t>For each of the three rows you read, run a 90-second drill:  1. "Show me what that looks like." Students do the move. 2. "Now show me what that does not look like." Students do the non-example. Keep it brief and end on the example, not the non-example. 3. "Show me again - this time hold it for 10 seconds." Quiet hold. Students see what it feels like.</w:t>
            </w:r>
          </w:p>
        </w:tc>
      </w:tr>
      <w:tr>
        <w:tc>
          <w:tcPr>
            <w:tcW w:type="dxa" w:w="2556"/>
            <w:shd w:val="clear" w:fill="F6F6F4"/>
          </w:tcPr>
          <w:p>
            <w:r/>
            <w:r>
              <w:rPr>
                <w:rFonts w:ascii="Calibri" w:hAnsi="Calibri"/>
                <w:b w:val="0"/>
                <w:i w:val="0"/>
                <w:color w:val="4A4A4A"/>
                <w:sz w:val="19"/>
              </w:rPr>
              <w:t>0:20–0:23</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4. The matrix is a coaching list, not a punishment list</w:t>
            </w:r>
          </w:p>
        </w:tc>
        <w:tc>
          <w:tcPr>
            <w:tcW w:type="dxa" w:w="2556"/>
            <w:shd w:val="clear" w:fill="F6F6F4"/>
          </w:tcPr>
          <w:p>
            <w:r/>
            <w:r>
              <w:rPr>
                <w:rFonts w:ascii="Calibri" w:hAnsi="Calibri"/>
                <w:b w:val="0"/>
                <w:i w:val="0"/>
                <w:color w:val="4A4A4A"/>
                <w:sz w:val="19"/>
              </w:rPr>
              <w:t>Tell students: "You will hear me read from this matrix every day. When something slips, I will name the row, not the kid. I will say 'voice at level 1' - not 'why are you talking?' That's because the matrix is what we are coaching. It is not what we are catching."  This reframes the matrix from surveillance to scaffold. Hold the line: "The same matrix is in the teacher's hands and in your hands. We are reading from the same page."</w:t>
            </w:r>
          </w:p>
        </w:tc>
      </w:tr>
      <w:tr>
        <w:tc>
          <w:tcPr>
            <w:tcW w:type="dxa" w:w="2556"/>
            <w:shd w:val="clear" w:fill="FFFFFF"/>
          </w:tcPr>
          <w:p>
            <w:r/>
            <w:r>
              <w:rPr>
                <w:rFonts w:ascii="Calibri" w:hAnsi="Calibri"/>
                <w:b w:val="0"/>
                <w:i w:val="0"/>
                <w:color w:val="4A4A4A"/>
                <w:sz w:val="19"/>
              </w:rPr>
              <w:t>0:23–0:25</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Have students write or share:  - "One row I already do is ___." - "One row I'll work on today is ___."  Collect 2 shares. Post commitments on the chart.</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Observable means we can see it. Invisible expectations are not expectations.</w:t>
      </w:r>
    </w:p>
    <w:p>
      <w:pPr>
        <w:pStyle w:val="ListBullet"/>
      </w:pPr>
      <w:r>
        <w:rPr>
          <w:rFonts w:ascii="Calibri" w:hAnsi="Calibri"/>
          <w:b w:val="0"/>
          <w:i w:val="0"/>
          <w:color w:val="4A4A4A"/>
          <w:sz w:val="22"/>
        </w:rPr>
        <w:t>Different grade bands get different versions of the same value. That's not unfair - that's developmentally honest.</w:t>
      </w:r>
    </w:p>
    <w:p>
      <w:pPr>
        <w:pStyle w:val="ListBullet"/>
      </w:pPr>
      <w:r>
        <w:rPr>
          <w:rFonts w:ascii="Calibri" w:hAnsi="Calibri"/>
          <w:b w:val="0"/>
          <w:i w:val="0"/>
          <w:color w:val="4A4A4A"/>
          <w:sz w:val="22"/>
        </w:rPr>
        <w:t>The matrix is what gets coached, not what gets punished.</w:t>
      </w:r>
    </w:p>
    <w:p>
      <w:pPr>
        <w:pStyle w:val="ListBullet"/>
      </w:pPr>
      <w:r>
        <w:rPr>
          <w:rFonts w:ascii="Calibri" w:hAnsi="Calibri"/>
          <w:b w:val="0"/>
          <w:i w:val="0"/>
          <w:color w:val="4A4A4A"/>
          <w:sz w:val="22"/>
        </w:rPr>
        <w:t>Students read the same matrix the teachers read. Same page, same room.</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Use picture cards next to each behavior. Replace the written reflect/commit with a thumbs check. Hold the "show me" drill twice - kindergarteners need the second rep to consolidate.</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students copy one row of the matrix into their notebook for daily reference.</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Open with a real-world version: "Where else do you see observable behavior used? Sports? Music? Driving?" Connect to performance contexts. Add a written reflection: "What is the difference between an expectation that's observable and one that's just felt?"</w:t>
            </w:r>
          </w:p>
        </w:tc>
      </w:tr>
    </w:tbl>
    <w:p/>
    <w:p>
      <w:r>
        <w:rPr>
          <w:rFonts w:ascii="Arial Narrow" w:hAnsi="Arial Narrow"/>
          <w:b/>
          <w:i w:val="0"/>
          <w:color w:val="E21C24"/>
          <w:sz w:val="26"/>
        </w:rPr>
        <w:t>AFTER THE LESSON</w:t>
      </w:r>
    </w:p>
    <w:p>
      <w:r>
        <w:rPr>
          <w:rFonts w:ascii="Calibri" w:hAnsi="Calibri"/>
          <w:b w:val="0"/>
          <w:i w:val="0"/>
          <w:color w:val="4A4A4A"/>
          <w:sz w:val="22"/>
        </w:rPr>
        <w:t>The matrix is a daily reference. Pull it up during transitions. Use the language in resets. By Day 5, students should be able to quote one row without looking. Teachers: do not read the matrix once and put it away. The lesson works only if the language repeats. Use the same words you used today - every day.</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