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FDEB0" w14:textId="184BF2C0" w:rsidR="00EB05E3" w:rsidRPr="005866BF" w:rsidRDefault="00596704" w:rsidP="005D5F44">
      <w:pPr>
        <w:jc w:val="center"/>
        <w:rPr>
          <w:rFonts w:ascii="Times New Roman" w:eastAsia="Times New Roman" w:hAnsi="Times New Roman" w:cs="Times New Roman"/>
          <w:b/>
          <w:bCs/>
          <w:kern w:val="0"/>
          <w:sz w:val="32"/>
          <w:szCs w:val="32"/>
          <w14:ligatures w14:val="none"/>
        </w:rPr>
      </w:pPr>
      <w:r w:rsidRPr="005866BF">
        <w:rPr>
          <w:rFonts w:ascii="Times New Roman" w:eastAsia="Times New Roman" w:hAnsi="Times New Roman" w:cs="Times New Roman"/>
          <w:b/>
          <w:bCs/>
          <w:kern w:val="0"/>
          <w:sz w:val="32"/>
          <w:szCs w:val="32"/>
          <w14:ligatures w14:val="none"/>
        </w:rPr>
        <w:t>Sustained Literacy Growth: A Longitudinal Analysis of Instructional Leadership Impact (2022-2024)</w:t>
      </w:r>
    </w:p>
    <w:p w14:paraId="50872672" w14:textId="77777777" w:rsidR="00EB05E3" w:rsidRPr="005866BF" w:rsidRDefault="00EB05E3" w:rsidP="002C5F4D">
      <w:pPr>
        <w:rPr>
          <w:rFonts w:ascii="Times New Roman" w:eastAsia="Times New Roman" w:hAnsi="Times New Roman" w:cs="Times New Roman"/>
          <w:b/>
          <w:bCs/>
          <w:kern w:val="0"/>
          <w:sz w:val="28"/>
          <w:szCs w:val="28"/>
          <w14:ligatures w14:val="none"/>
        </w:rPr>
      </w:pPr>
    </w:p>
    <w:p w14:paraId="12BC8E46" w14:textId="191EE014" w:rsidR="002C5F4D" w:rsidRPr="005866BF" w:rsidRDefault="002C5F4D" w:rsidP="002C5F4D">
      <w:pPr>
        <w:rPr>
          <w:rFonts w:ascii="Times New Roman" w:eastAsia="Times New Roman" w:hAnsi="Times New Roman" w:cs="Times New Roman"/>
          <w:b/>
          <w:bCs/>
          <w:kern w:val="0"/>
          <w:sz w:val="28"/>
          <w:szCs w:val="28"/>
          <w14:ligatures w14:val="none"/>
        </w:rPr>
      </w:pPr>
      <w:r w:rsidRPr="005866BF">
        <w:rPr>
          <w:rFonts w:ascii="Times New Roman" w:eastAsia="Times New Roman" w:hAnsi="Times New Roman" w:cs="Times New Roman"/>
          <w:b/>
          <w:bCs/>
          <w:kern w:val="0"/>
          <w:sz w:val="28"/>
          <w:szCs w:val="28"/>
          <w14:ligatures w14:val="none"/>
        </w:rPr>
        <w:t>Executive Summary</w:t>
      </w:r>
    </w:p>
    <w:p w14:paraId="364097DC" w14:textId="33E44813" w:rsidR="00BB3DC0" w:rsidRPr="005866BF" w:rsidRDefault="00BB3DC0" w:rsidP="00BB3DC0">
      <w:pPr>
        <w:rPr>
          <w:rFonts w:ascii="Times New Roman" w:eastAsia="Times New Roman" w:hAnsi="Times New Roman" w:cs="Times New Roman"/>
          <w:kern w:val="0"/>
          <w14:ligatures w14:val="none"/>
        </w:rPr>
      </w:pPr>
      <w:r w:rsidRPr="005866BF">
        <w:rPr>
          <w:rFonts w:ascii="Times New Roman" w:eastAsia="Times New Roman" w:hAnsi="Times New Roman" w:cs="Times New Roman"/>
          <w:kern w:val="0"/>
          <w14:ligatures w14:val="none"/>
        </w:rPr>
        <w:t xml:space="preserve">This report presents a longitudinal analysis of literacy outcomes at IDEA Brackenridge Academy, documenting how targeted </w:t>
      </w:r>
      <w:r w:rsidR="00367ED9">
        <w:rPr>
          <w:rFonts w:ascii="Times New Roman" w:eastAsia="Times New Roman" w:hAnsi="Times New Roman" w:cs="Times New Roman"/>
          <w:kern w:val="0"/>
          <w14:ligatures w14:val="none"/>
        </w:rPr>
        <w:t>interventions</w:t>
      </w:r>
      <w:r w:rsidRPr="005866BF">
        <w:rPr>
          <w:rFonts w:ascii="Times New Roman" w:eastAsia="Times New Roman" w:hAnsi="Times New Roman" w:cs="Times New Roman"/>
          <w:kern w:val="0"/>
          <w14:ligatures w14:val="none"/>
        </w:rPr>
        <w:t xml:space="preserve"> produce sustainable literacy growth across three student cohorts, despite significant operational challenges.</w:t>
      </w:r>
    </w:p>
    <w:p w14:paraId="670EAE1C" w14:textId="092DBE54" w:rsidR="00BB3DC0" w:rsidRPr="005866BF" w:rsidRDefault="00873C05" w:rsidP="00BB3DC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response to </w:t>
      </w:r>
      <w:r w:rsidR="00B20D67">
        <w:rPr>
          <w:rFonts w:ascii="Times New Roman" w:eastAsia="Times New Roman" w:hAnsi="Times New Roman" w:cs="Times New Roman"/>
          <w:kern w:val="0"/>
          <w14:ligatures w14:val="none"/>
        </w:rPr>
        <w:t xml:space="preserve">declines in student learning post covid, Texas </w:t>
      </w:r>
      <w:r w:rsidR="00B56002">
        <w:rPr>
          <w:rFonts w:ascii="Times New Roman" w:eastAsia="Times New Roman" w:hAnsi="Times New Roman" w:cs="Times New Roman"/>
          <w:kern w:val="0"/>
          <w14:ligatures w14:val="none"/>
        </w:rPr>
        <w:t>establish House Bill 4545</w:t>
      </w:r>
      <w:r w:rsidR="003A0186">
        <w:rPr>
          <w:rFonts w:ascii="Times New Roman" w:eastAsia="Times New Roman" w:hAnsi="Times New Roman" w:cs="Times New Roman"/>
          <w:kern w:val="0"/>
          <w14:ligatures w14:val="none"/>
        </w:rPr>
        <w:t xml:space="preserve"> to address </w:t>
      </w:r>
      <w:r w:rsidR="001F593B">
        <w:rPr>
          <w:rFonts w:ascii="Times New Roman" w:eastAsia="Times New Roman" w:hAnsi="Times New Roman" w:cs="Times New Roman"/>
          <w:kern w:val="0"/>
          <w14:ligatures w14:val="none"/>
        </w:rPr>
        <w:t xml:space="preserve">the </w:t>
      </w:r>
      <w:r w:rsidR="003A0186">
        <w:rPr>
          <w:rFonts w:ascii="Times New Roman" w:eastAsia="Times New Roman" w:hAnsi="Times New Roman" w:cs="Times New Roman"/>
          <w:kern w:val="0"/>
          <w14:ligatures w14:val="none"/>
        </w:rPr>
        <w:t xml:space="preserve">declines. </w:t>
      </w:r>
      <w:r w:rsidR="001F593B">
        <w:rPr>
          <w:rFonts w:ascii="Times New Roman" w:eastAsia="Times New Roman" w:hAnsi="Times New Roman" w:cs="Times New Roman"/>
          <w:kern w:val="0"/>
          <w14:ligatures w14:val="none"/>
        </w:rPr>
        <w:t xml:space="preserve">The </w:t>
      </w:r>
      <w:r w:rsidR="00A565BF">
        <w:rPr>
          <w:rFonts w:ascii="Times New Roman" w:eastAsia="Times New Roman" w:hAnsi="Times New Roman" w:cs="Times New Roman"/>
          <w:kern w:val="0"/>
          <w14:ligatures w14:val="none"/>
        </w:rPr>
        <w:t xml:space="preserve">bill required an additional 30 </w:t>
      </w:r>
      <w:proofErr w:type="spellStart"/>
      <w:r w:rsidR="00A565BF">
        <w:rPr>
          <w:rFonts w:ascii="Times New Roman" w:eastAsia="Times New Roman" w:hAnsi="Times New Roman" w:cs="Times New Roman"/>
          <w:kern w:val="0"/>
          <w14:ligatures w14:val="none"/>
        </w:rPr>
        <w:t>hrs</w:t>
      </w:r>
      <w:proofErr w:type="spellEnd"/>
      <w:r w:rsidR="00A565BF">
        <w:rPr>
          <w:rFonts w:ascii="Times New Roman" w:eastAsia="Times New Roman" w:hAnsi="Times New Roman" w:cs="Times New Roman"/>
          <w:kern w:val="0"/>
          <w14:ligatures w14:val="none"/>
        </w:rPr>
        <w:t xml:space="preserve"> of </w:t>
      </w:r>
      <w:r w:rsidR="00085AF0">
        <w:rPr>
          <w:rFonts w:ascii="Times New Roman" w:eastAsia="Times New Roman" w:hAnsi="Times New Roman" w:cs="Times New Roman"/>
          <w:kern w:val="0"/>
          <w14:ligatures w14:val="none"/>
        </w:rPr>
        <w:t xml:space="preserve">targeted intervention </w:t>
      </w:r>
      <w:r w:rsidR="00A565BF">
        <w:rPr>
          <w:rFonts w:ascii="Times New Roman" w:eastAsia="Times New Roman" w:hAnsi="Times New Roman" w:cs="Times New Roman"/>
          <w:kern w:val="0"/>
          <w14:ligatures w14:val="none"/>
        </w:rPr>
        <w:t xml:space="preserve">instruction </w:t>
      </w:r>
      <w:proofErr w:type="gramStart"/>
      <w:r w:rsidR="00085AF0">
        <w:rPr>
          <w:rFonts w:ascii="Times New Roman" w:eastAsia="Times New Roman" w:hAnsi="Times New Roman" w:cs="Times New Roman"/>
          <w:kern w:val="0"/>
          <w14:ligatures w14:val="none"/>
        </w:rPr>
        <w:t>be</w:t>
      </w:r>
      <w:proofErr w:type="gramEnd"/>
      <w:r w:rsidR="00085AF0">
        <w:rPr>
          <w:rFonts w:ascii="Times New Roman" w:eastAsia="Times New Roman" w:hAnsi="Times New Roman" w:cs="Times New Roman"/>
          <w:kern w:val="0"/>
          <w14:ligatures w14:val="none"/>
        </w:rPr>
        <w:t xml:space="preserve"> provided to all 4</w:t>
      </w:r>
      <w:r w:rsidR="00085AF0" w:rsidRPr="00085AF0">
        <w:rPr>
          <w:rFonts w:ascii="Times New Roman" w:eastAsia="Times New Roman" w:hAnsi="Times New Roman" w:cs="Times New Roman"/>
          <w:kern w:val="0"/>
          <w:vertAlign w:val="superscript"/>
          <w14:ligatures w14:val="none"/>
        </w:rPr>
        <w:t>th</w:t>
      </w:r>
      <w:r w:rsidR="00085AF0">
        <w:rPr>
          <w:rFonts w:ascii="Times New Roman" w:eastAsia="Times New Roman" w:hAnsi="Times New Roman" w:cs="Times New Roman"/>
          <w:kern w:val="0"/>
          <w14:ligatures w14:val="none"/>
        </w:rPr>
        <w:t xml:space="preserve"> and 5</w:t>
      </w:r>
      <w:r w:rsidR="00085AF0" w:rsidRPr="00085AF0">
        <w:rPr>
          <w:rFonts w:ascii="Times New Roman" w:eastAsia="Times New Roman" w:hAnsi="Times New Roman" w:cs="Times New Roman"/>
          <w:kern w:val="0"/>
          <w:vertAlign w:val="superscript"/>
          <w14:ligatures w14:val="none"/>
        </w:rPr>
        <w:t>th</w:t>
      </w:r>
      <w:r w:rsidR="00085AF0">
        <w:rPr>
          <w:rFonts w:ascii="Times New Roman" w:eastAsia="Times New Roman" w:hAnsi="Times New Roman" w:cs="Times New Roman"/>
          <w:kern w:val="0"/>
          <w14:ligatures w14:val="none"/>
        </w:rPr>
        <w:t xml:space="preserve"> grade students who </w:t>
      </w:r>
      <w:r w:rsidR="001B66A1">
        <w:rPr>
          <w:rFonts w:ascii="Times New Roman" w:eastAsia="Times New Roman" w:hAnsi="Times New Roman" w:cs="Times New Roman"/>
          <w:kern w:val="0"/>
          <w14:ligatures w14:val="none"/>
        </w:rPr>
        <w:t>d</w:t>
      </w:r>
      <w:r w:rsidR="00BD2B1E">
        <w:rPr>
          <w:rFonts w:ascii="Times New Roman" w:eastAsia="Times New Roman" w:hAnsi="Times New Roman" w:cs="Times New Roman"/>
          <w:kern w:val="0"/>
          <w14:ligatures w14:val="none"/>
        </w:rPr>
        <w:t xml:space="preserve">id not </w:t>
      </w:r>
      <w:r w:rsidR="00217F8E">
        <w:rPr>
          <w:rFonts w:ascii="Times New Roman" w:eastAsia="Times New Roman" w:hAnsi="Times New Roman" w:cs="Times New Roman"/>
          <w:kern w:val="0"/>
          <w14:ligatures w14:val="none"/>
        </w:rPr>
        <w:t xml:space="preserve">attain </w:t>
      </w:r>
      <w:proofErr w:type="gramStart"/>
      <w:r w:rsidR="00217F8E">
        <w:rPr>
          <w:rFonts w:ascii="Times New Roman" w:eastAsia="Times New Roman" w:hAnsi="Times New Roman" w:cs="Times New Roman"/>
          <w:kern w:val="0"/>
          <w14:ligatures w14:val="none"/>
        </w:rPr>
        <w:t>an approaches</w:t>
      </w:r>
      <w:proofErr w:type="gramEnd"/>
      <w:r w:rsidR="00217F8E">
        <w:rPr>
          <w:rFonts w:ascii="Times New Roman" w:eastAsia="Times New Roman" w:hAnsi="Times New Roman" w:cs="Times New Roman"/>
          <w:kern w:val="0"/>
          <w14:ligatures w14:val="none"/>
        </w:rPr>
        <w:t xml:space="preserve"> grade-level</w:t>
      </w:r>
      <w:r w:rsidR="001B66A1">
        <w:rPr>
          <w:rFonts w:ascii="Times New Roman" w:eastAsia="Times New Roman" w:hAnsi="Times New Roman" w:cs="Times New Roman"/>
          <w:kern w:val="0"/>
          <w14:ligatures w14:val="none"/>
        </w:rPr>
        <w:t xml:space="preserve"> passing criteria</w:t>
      </w:r>
      <w:r w:rsidR="00307A52">
        <w:rPr>
          <w:rFonts w:ascii="Times New Roman" w:eastAsia="Times New Roman" w:hAnsi="Times New Roman" w:cs="Times New Roman"/>
          <w:kern w:val="0"/>
          <w14:ligatures w14:val="none"/>
        </w:rPr>
        <w:t xml:space="preserve"> on their </w:t>
      </w:r>
      <w:r w:rsidR="00F50842">
        <w:rPr>
          <w:rFonts w:ascii="Times New Roman" w:eastAsia="Times New Roman" w:hAnsi="Times New Roman" w:cs="Times New Roman"/>
          <w:kern w:val="0"/>
          <w14:ligatures w14:val="none"/>
        </w:rPr>
        <w:t xml:space="preserve">reading or math </w:t>
      </w:r>
      <w:r w:rsidR="00217F8E">
        <w:rPr>
          <w:rFonts w:ascii="Times New Roman" w:eastAsia="Times New Roman" w:hAnsi="Times New Roman" w:cs="Times New Roman"/>
          <w:kern w:val="0"/>
          <w14:ligatures w14:val="none"/>
        </w:rPr>
        <w:t>benchmark</w:t>
      </w:r>
      <w:r w:rsidR="00D56543">
        <w:rPr>
          <w:rFonts w:ascii="Times New Roman" w:eastAsia="Times New Roman" w:hAnsi="Times New Roman" w:cs="Times New Roman"/>
          <w:kern w:val="0"/>
          <w14:ligatures w14:val="none"/>
        </w:rPr>
        <w:t xml:space="preserve">s. </w:t>
      </w:r>
    </w:p>
    <w:p w14:paraId="393A442F" w14:textId="77777777" w:rsidR="00BB3DC0" w:rsidRPr="005866BF" w:rsidRDefault="00BB3DC0" w:rsidP="00BB3DC0">
      <w:pPr>
        <w:rPr>
          <w:rFonts w:ascii="Times New Roman" w:eastAsia="Times New Roman" w:hAnsi="Times New Roman" w:cs="Times New Roman"/>
          <w:kern w:val="0"/>
          <w14:ligatures w14:val="none"/>
        </w:rPr>
      </w:pPr>
      <w:r w:rsidRPr="005866BF">
        <w:rPr>
          <w:rFonts w:ascii="Times New Roman" w:eastAsia="Times New Roman" w:hAnsi="Times New Roman" w:cs="Times New Roman"/>
          <w:kern w:val="0"/>
          <w14:ligatures w14:val="none"/>
        </w:rPr>
        <w:t>To address this gap, I implemented a comprehensive longitudinal tracking system for 4th and 5th grade cohorts, with an explicit focus on middle school readiness. Data analysis revealed that while many students demonstrated strong decoding ability, they lacked proficiency in vocabulary development, inferencing, and meaning-making—core dimensions of deep literacy. These findings informed the design of a vertically and horizontally aligned intervention framework, integrating cross-curricular supports and targeted instruction to address these complex skill areas</w:t>
      </w:r>
    </w:p>
    <w:p w14:paraId="17C60EFB" w14:textId="77777777" w:rsidR="00475D30" w:rsidRPr="005866BF" w:rsidRDefault="00475D30" w:rsidP="00475D30">
      <w:pPr>
        <w:rPr>
          <w:rFonts w:ascii="Times New Roman" w:eastAsia="Times New Roman" w:hAnsi="Times New Roman" w:cs="Times New Roman"/>
          <w:kern w:val="0"/>
          <w14:ligatures w14:val="none"/>
        </w:rPr>
      </w:pPr>
      <w:r w:rsidRPr="005866BF">
        <w:rPr>
          <w:rFonts w:ascii="Times New Roman" w:eastAsia="Times New Roman" w:hAnsi="Times New Roman" w:cs="Times New Roman"/>
          <w:kern w:val="0"/>
          <w14:ligatures w14:val="none"/>
        </w:rPr>
        <w:t>I designed an additional 80-minute intervention block for students reading more than two years below grade level, as well as for those who did not meet standard on the previous year’s state reading assessment. This block was implemented three times a week. The curriculum aligned with the instructional philosophies of both Balanced and Structured Literacy. I divided the block into two sessions (35–40 minutes each): one focused on meaning-making and textual interpretation through the lens of Balanced Literacy, and the other on explicit, systematic skill development aligned to Structured Literacy.</w:t>
      </w:r>
    </w:p>
    <w:p w14:paraId="2439646A" w14:textId="77777777" w:rsidR="00475D30" w:rsidRPr="005866BF" w:rsidRDefault="00475D30" w:rsidP="00475D30">
      <w:pPr>
        <w:rPr>
          <w:rFonts w:ascii="Times New Roman" w:eastAsia="Times New Roman" w:hAnsi="Times New Roman" w:cs="Times New Roman"/>
          <w:kern w:val="0"/>
          <w14:ligatures w14:val="none"/>
        </w:rPr>
      </w:pPr>
      <w:r w:rsidRPr="005866BF">
        <w:rPr>
          <w:rFonts w:ascii="Times New Roman" w:eastAsia="Times New Roman" w:hAnsi="Times New Roman" w:cs="Times New Roman"/>
          <w:kern w:val="0"/>
          <w14:ligatures w14:val="none"/>
        </w:rPr>
        <w:t>To further support students’ cognitive and linguistic development, I created a structured annotation process to promote cross-content learning and strengthen metacognitive skills in both reading and writing. To build academic discourse and reinforce oral and written literacy, I also implemented “Accountable Talk” routines. These routines equipped students with academic sentence stems for responding to peer ideas—agreeing, extending, or challenging—supported by a rationale grounded in text evidence.</w:t>
      </w:r>
    </w:p>
    <w:p w14:paraId="48CDF6F2" w14:textId="77777777" w:rsidR="00475D30" w:rsidRPr="005866BF" w:rsidRDefault="00475D30" w:rsidP="00475D30">
      <w:pPr>
        <w:rPr>
          <w:rFonts w:ascii="Times New Roman" w:eastAsia="Times New Roman" w:hAnsi="Times New Roman" w:cs="Times New Roman"/>
          <w:kern w:val="0"/>
          <w14:ligatures w14:val="none"/>
        </w:rPr>
      </w:pPr>
      <w:r w:rsidRPr="005866BF">
        <w:rPr>
          <w:rFonts w:ascii="Times New Roman" w:eastAsia="Times New Roman" w:hAnsi="Times New Roman" w:cs="Times New Roman"/>
          <w:kern w:val="0"/>
          <w14:ligatures w14:val="none"/>
        </w:rPr>
        <w:t xml:space="preserve">In addition to targeted Tier 2 intervention, I led a campus-wide literacy initiative to ensure that all students in grades 3–5 received integrated instruction in reading, writing, and science. Instruction focused on cross-curricular literacy development. When appropriate, teachers extended core lesson plans to incorporate cross-content standards, designing enhancements that deepened conceptual understanding and reinforced disciplinary literacy. This alignment laid the </w:t>
      </w:r>
      <w:r w:rsidRPr="005866BF">
        <w:rPr>
          <w:rFonts w:ascii="Times New Roman" w:eastAsia="Times New Roman" w:hAnsi="Times New Roman" w:cs="Times New Roman"/>
          <w:kern w:val="0"/>
          <w14:ligatures w14:val="none"/>
        </w:rPr>
        <w:lastRenderedPageBreak/>
        <w:t>foundation for the system-wide structures that improved literacy development in our 3rd–5th grade students.</w:t>
      </w:r>
    </w:p>
    <w:p w14:paraId="65CE3D55" w14:textId="77777777" w:rsidR="00BD22B5" w:rsidRPr="005866BF" w:rsidRDefault="00BD22B5" w:rsidP="00BD22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6BF">
        <w:rPr>
          <w:rFonts w:ascii="Times New Roman" w:eastAsia="Times New Roman" w:hAnsi="Times New Roman" w:cs="Times New Roman"/>
          <w:b/>
          <w:bCs/>
          <w:kern w:val="0"/>
          <w:sz w:val="27"/>
          <w:szCs w:val="27"/>
          <w14:ligatures w14:val="none"/>
        </w:rPr>
        <w:t>Cohort Structure and Instructional Focus</w:t>
      </w:r>
    </w:p>
    <w:p w14:paraId="3541A8B2" w14:textId="04CFBB71" w:rsidR="00D044BA" w:rsidRPr="005866BF" w:rsidRDefault="00D044BA" w:rsidP="00D044BA">
      <w:pPr>
        <w:spacing w:before="100" w:beforeAutospacing="1" w:after="100" w:afterAutospacing="1" w:line="240" w:lineRule="auto"/>
        <w:rPr>
          <w:rFonts w:ascii="Times New Roman" w:eastAsia="Times New Roman" w:hAnsi="Times New Roman" w:cs="Times New Roman"/>
          <w:kern w:val="0"/>
          <w14:ligatures w14:val="none"/>
        </w:rPr>
      </w:pPr>
      <w:r w:rsidRPr="005866BF">
        <w:rPr>
          <w:rFonts w:ascii="Times New Roman" w:eastAsia="Times New Roman" w:hAnsi="Times New Roman" w:cs="Times New Roman"/>
          <w:kern w:val="0"/>
          <w14:ligatures w14:val="none"/>
        </w:rPr>
        <w:t xml:space="preserve">This section presents outcomes across three student cohorts, </w:t>
      </w:r>
      <w:r w:rsidR="00913851" w:rsidRPr="005866BF">
        <w:rPr>
          <w:rFonts w:ascii="Times New Roman" w:eastAsia="Times New Roman" w:hAnsi="Times New Roman" w:cs="Times New Roman"/>
          <w:kern w:val="0"/>
          <w14:ligatures w14:val="none"/>
        </w:rPr>
        <w:t xml:space="preserve">but </w:t>
      </w:r>
      <w:r w:rsidRPr="005866BF">
        <w:rPr>
          <w:rFonts w:ascii="Times New Roman" w:eastAsia="Times New Roman" w:hAnsi="Times New Roman" w:cs="Times New Roman"/>
          <w:kern w:val="0"/>
          <w14:ligatures w14:val="none"/>
        </w:rPr>
        <w:t>with a focus on 5th-grade students who participated in</w:t>
      </w:r>
      <w:r w:rsidR="00E84480" w:rsidRPr="005866BF">
        <w:rPr>
          <w:rFonts w:ascii="Times New Roman" w:eastAsia="Times New Roman" w:hAnsi="Times New Roman" w:cs="Times New Roman"/>
          <w:kern w:val="0"/>
          <w14:ligatures w14:val="none"/>
        </w:rPr>
        <w:t xml:space="preserve"> the STAAR Red</w:t>
      </w:r>
      <w:r w:rsidR="00913851" w:rsidRPr="005866BF">
        <w:rPr>
          <w:rFonts w:ascii="Times New Roman" w:eastAsia="Times New Roman" w:hAnsi="Times New Roman" w:cs="Times New Roman"/>
          <w:kern w:val="0"/>
          <w14:ligatures w14:val="none"/>
        </w:rPr>
        <w:t xml:space="preserve">esign, </w:t>
      </w:r>
      <w:proofErr w:type="spellStart"/>
      <w:proofErr w:type="gramStart"/>
      <w:r w:rsidR="00913851" w:rsidRPr="005866BF">
        <w:rPr>
          <w:rFonts w:ascii="Times New Roman" w:eastAsia="Times New Roman" w:hAnsi="Times New Roman" w:cs="Times New Roman"/>
          <w:kern w:val="0"/>
          <w14:ligatures w14:val="none"/>
        </w:rPr>
        <w:t>an</w:t>
      </w:r>
      <w:proofErr w:type="spellEnd"/>
      <w:proofErr w:type="gramEnd"/>
      <w:r w:rsidRPr="005866BF">
        <w:rPr>
          <w:rFonts w:ascii="Times New Roman" w:eastAsia="Times New Roman" w:hAnsi="Times New Roman" w:cs="Times New Roman"/>
          <w:kern w:val="0"/>
          <w14:ligatures w14:val="none"/>
        </w:rPr>
        <w:t xml:space="preserve"> at least two full years of the implemented intervention model.</w:t>
      </w:r>
    </w:p>
    <w:p w14:paraId="788D15AD" w14:textId="3F1B3D0C" w:rsidR="00D044BA" w:rsidRPr="005866BF" w:rsidRDefault="00C4429A" w:rsidP="00D044BA">
      <w:pPr>
        <w:spacing w:before="100" w:beforeAutospacing="1" w:after="100" w:afterAutospacing="1" w:line="240" w:lineRule="auto"/>
        <w:rPr>
          <w:rFonts w:ascii="Times New Roman" w:eastAsia="Times New Roman" w:hAnsi="Times New Roman" w:cs="Times New Roman"/>
          <w:kern w:val="0"/>
          <w14:ligatures w14:val="none"/>
        </w:rPr>
      </w:pPr>
      <w:r w:rsidRPr="005866BF">
        <w:rPr>
          <w:rFonts w:ascii="Times New Roman" w:eastAsia="Times New Roman" w:hAnsi="Times New Roman" w:cs="Times New Roman"/>
          <w:b/>
          <w:bCs/>
          <w:kern w:val="0"/>
          <w14:ligatures w14:val="none"/>
        </w:rPr>
        <w:t>Cohort C</w:t>
      </w:r>
      <w:r w:rsidRPr="005866BF">
        <w:rPr>
          <w:rFonts w:ascii="Times New Roman" w:eastAsia="Times New Roman" w:hAnsi="Times New Roman" w:cs="Times New Roman"/>
          <w:kern w:val="0"/>
          <w14:ligatures w14:val="none"/>
        </w:rPr>
        <w:t xml:space="preserve"> entered Grade 3 in 2022 and exited after Grade 5 in 2024. Despite two years of staffing instability, this cohort rebounded and exited the campus outperforming both district and state peers at the Meets and </w:t>
      </w:r>
      <w:proofErr w:type="gramStart"/>
      <w:r w:rsidRPr="005866BF">
        <w:rPr>
          <w:rFonts w:ascii="Times New Roman" w:eastAsia="Times New Roman" w:hAnsi="Times New Roman" w:cs="Times New Roman"/>
          <w:kern w:val="0"/>
          <w14:ligatures w14:val="none"/>
        </w:rPr>
        <w:t>Masters</w:t>
      </w:r>
      <w:proofErr w:type="gramEnd"/>
      <w:r w:rsidRPr="005866BF">
        <w:rPr>
          <w:rFonts w:ascii="Times New Roman" w:eastAsia="Times New Roman" w:hAnsi="Times New Roman" w:cs="Times New Roman"/>
          <w:kern w:val="0"/>
          <w14:ligatures w14:val="none"/>
        </w:rPr>
        <w:t xml:space="preserve"> levels.</w:t>
      </w:r>
    </w:p>
    <w:p w14:paraId="5785995D" w14:textId="1F570B36" w:rsidR="00D044BA" w:rsidRPr="005866BF" w:rsidRDefault="00D044BA" w:rsidP="00D044BA">
      <w:pPr>
        <w:spacing w:before="100" w:beforeAutospacing="1" w:after="100" w:afterAutospacing="1" w:line="240" w:lineRule="auto"/>
        <w:rPr>
          <w:rFonts w:ascii="Times New Roman" w:eastAsia="Times New Roman" w:hAnsi="Times New Roman" w:cs="Times New Roman"/>
          <w:kern w:val="0"/>
          <w14:ligatures w14:val="none"/>
        </w:rPr>
      </w:pPr>
      <w:r w:rsidRPr="005866BF">
        <w:rPr>
          <w:rFonts w:ascii="Times New Roman" w:eastAsia="Times New Roman" w:hAnsi="Times New Roman" w:cs="Times New Roman"/>
          <w:b/>
          <w:bCs/>
          <w:kern w:val="0"/>
          <w14:ligatures w14:val="none"/>
        </w:rPr>
        <w:t>Cohort B</w:t>
      </w:r>
      <w:r w:rsidRPr="005866BF">
        <w:rPr>
          <w:rFonts w:ascii="Times New Roman" w:eastAsia="Times New Roman" w:hAnsi="Times New Roman" w:cs="Times New Roman"/>
          <w:kern w:val="0"/>
          <w14:ligatures w14:val="none"/>
        </w:rPr>
        <w:t xml:space="preserve"> entered Grade 4 in 2022 and exited after Grade 6 in 2024. Their outcomes demonstrate sustained performance gains rooted in upper elementary instruction, achieved despite limited bilingual staffing and the absence of a Grade 5 Reading teacher.</w:t>
      </w:r>
    </w:p>
    <w:p w14:paraId="3B596704" w14:textId="59224D8A" w:rsidR="00D044BA" w:rsidRPr="005866BF" w:rsidRDefault="00100577" w:rsidP="00D044BA">
      <w:pPr>
        <w:spacing w:before="100" w:beforeAutospacing="1" w:after="100" w:afterAutospacing="1" w:line="240" w:lineRule="auto"/>
        <w:rPr>
          <w:rFonts w:ascii="Times New Roman" w:eastAsia="Times New Roman" w:hAnsi="Times New Roman" w:cs="Times New Roman"/>
          <w:kern w:val="0"/>
          <w14:ligatures w14:val="none"/>
        </w:rPr>
      </w:pPr>
      <w:r w:rsidRPr="005866BF">
        <w:rPr>
          <w:rFonts w:ascii="Times New Roman" w:eastAsia="Times New Roman" w:hAnsi="Times New Roman" w:cs="Times New Roman"/>
          <w:b/>
          <w:bCs/>
          <w:kern w:val="0"/>
          <w14:ligatures w14:val="none"/>
        </w:rPr>
        <w:t>Cohort A</w:t>
      </w:r>
      <w:r w:rsidRPr="005866BF">
        <w:rPr>
          <w:rFonts w:ascii="Times New Roman" w:eastAsia="Times New Roman" w:hAnsi="Times New Roman" w:cs="Times New Roman"/>
          <w:kern w:val="0"/>
          <w14:ligatures w14:val="none"/>
        </w:rPr>
        <w:t xml:space="preserve"> entered Grade 5 in 2022, with Grade 4 data from 2021 included to reflect post-pandemic recovery trends. As our first 5th-grade testing group under this campus model, they serve as a baseline comparative group—offering insight into student performance prior to the implementation of our redesigned intervention system. While their outcomes trailed district and state averages, they demonstrated steady academic growth, providing the foundation for future system improvement.</w:t>
      </w:r>
    </w:p>
    <w:tbl>
      <w:tblPr>
        <w:tblpPr w:leftFromText="187" w:rightFromText="187" w:vertAnchor="page" w:horzAnchor="page" w:tblpX="6368" w:tblpY="8945"/>
        <w:tblOverlap w:val="never"/>
        <w:tblW w:w="53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51"/>
        <w:gridCol w:w="1494"/>
        <w:gridCol w:w="796"/>
        <w:gridCol w:w="661"/>
        <w:gridCol w:w="840"/>
        <w:gridCol w:w="853"/>
      </w:tblGrid>
      <w:tr w:rsidR="002016B1" w:rsidRPr="00C22050" w14:paraId="3E268716" w14:textId="77777777" w:rsidTr="00802544">
        <w:trPr>
          <w:trHeight w:val="545"/>
          <w:tblHeader/>
          <w:tblCellSpacing w:w="15" w:type="dxa"/>
        </w:trPr>
        <w:tc>
          <w:tcPr>
            <w:tcW w:w="706" w:type="dxa"/>
            <w:shd w:val="clear" w:color="auto" w:fill="0070C0"/>
            <w:vAlign w:val="center"/>
            <w:hideMark/>
          </w:tcPr>
          <w:p w14:paraId="2EF1C9FD" w14:textId="77777777" w:rsidR="002016B1" w:rsidRPr="00B57304" w:rsidRDefault="002016B1" w:rsidP="00F523B7">
            <w:pPr>
              <w:spacing w:after="0" w:line="240" w:lineRule="auto"/>
              <w:jc w:val="center"/>
              <w:rPr>
                <w:rFonts w:ascii="Times New Roman" w:hAnsi="Times New Roman" w:cs="Times New Roman"/>
                <w:b/>
                <w:bCs/>
                <w:color w:val="FFFFFF" w:themeColor="background1"/>
                <w:sz w:val="20"/>
                <w:szCs w:val="20"/>
              </w:rPr>
            </w:pPr>
            <w:r w:rsidRPr="00B57304">
              <w:rPr>
                <w:rFonts w:ascii="Times New Roman" w:hAnsi="Times New Roman" w:cs="Times New Roman"/>
                <w:b/>
                <w:bCs/>
                <w:color w:val="FFFFFF" w:themeColor="background1"/>
                <w:sz w:val="20"/>
                <w:szCs w:val="20"/>
              </w:rPr>
              <w:t>Cohort</w:t>
            </w:r>
          </w:p>
        </w:tc>
        <w:tc>
          <w:tcPr>
            <w:tcW w:w="1464" w:type="dxa"/>
            <w:shd w:val="clear" w:color="auto" w:fill="0070C0"/>
            <w:vAlign w:val="center"/>
            <w:hideMark/>
          </w:tcPr>
          <w:p w14:paraId="0CDEAADB" w14:textId="77777777" w:rsidR="002016B1" w:rsidRPr="00B57304" w:rsidRDefault="002016B1" w:rsidP="00F523B7">
            <w:pPr>
              <w:spacing w:after="0" w:line="240" w:lineRule="auto"/>
              <w:jc w:val="center"/>
              <w:rPr>
                <w:rFonts w:ascii="Times New Roman" w:hAnsi="Times New Roman" w:cs="Times New Roman"/>
                <w:b/>
                <w:bCs/>
                <w:color w:val="FFFFFF" w:themeColor="background1"/>
                <w:sz w:val="20"/>
                <w:szCs w:val="20"/>
              </w:rPr>
            </w:pPr>
            <w:r w:rsidRPr="00C22050">
              <w:rPr>
                <w:rFonts w:ascii="Times New Roman" w:hAnsi="Times New Roman" w:cs="Times New Roman"/>
                <w:b/>
                <w:bCs/>
                <w:color w:val="FFFFFF" w:themeColor="background1"/>
                <w:sz w:val="20"/>
                <w:szCs w:val="20"/>
              </w:rPr>
              <w:t>Intervention</w:t>
            </w:r>
          </w:p>
        </w:tc>
        <w:tc>
          <w:tcPr>
            <w:tcW w:w="766" w:type="dxa"/>
            <w:shd w:val="clear" w:color="auto" w:fill="0070C0"/>
            <w:vAlign w:val="center"/>
            <w:hideMark/>
          </w:tcPr>
          <w:p w14:paraId="554D5306" w14:textId="77777777" w:rsidR="002016B1" w:rsidRPr="00B57304" w:rsidRDefault="002016B1" w:rsidP="00F523B7">
            <w:pPr>
              <w:spacing w:after="0" w:line="240" w:lineRule="auto"/>
              <w:jc w:val="center"/>
              <w:rPr>
                <w:rFonts w:ascii="Times New Roman" w:hAnsi="Times New Roman" w:cs="Times New Roman"/>
                <w:b/>
                <w:bCs/>
                <w:color w:val="FFFFFF" w:themeColor="background1"/>
                <w:sz w:val="20"/>
                <w:szCs w:val="20"/>
              </w:rPr>
            </w:pPr>
            <w:r w:rsidRPr="00B57304">
              <w:rPr>
                <w:rFonts w:ascii="Times New Roman" w:hAnsi="Times New Roman" w:cs="Times New Roman"/>
                <w:b/>
                <w:bCs/>
                <w:color w:val="FFFFFF" w:themeColor="background1"/>
                <w:sz w:val="20"/>
                <w:szCs w:val="20"/>
              </w:rPr>
              <w:t xml:space="preserve">Meets </w:t>
            </w:r>
            <w:r w:rsidRPr="00C22050">
              <w:rPr>
                <w:rFonts w:ascii="Times New Roman" w:hAnsi="Times New Roman" w:cs="Times New Roman"/>
                <w:b/>
                <w:bCs/>
                <w:color w:val="FFFFFF" w:themeColor="background1"/>
                <w:sz w:val="20"/>
                <w:szCs w:val="20"/>
              </w:rPr>
              <w:t>+/-</w:t>
            </w:r>
            <w:r w:rsidRPr="00B57304">
              <w:rPr>
                <w:rFonts w:ascii="Times New Roman" w:hAnsi="Times New Roman" w:cs="Times New Roman"/>
                <w:b/>
                <w:bCs/>
                <w:color w:val="FFFFFF" w:themeColor="background1"/>
                <w:sz w:val="20"/>
                <w:szCs w:val="20"/>
              </w:rPr>
              <w:t>District</w:t>
            </w:r>
          </w:p>
        </w:tc>
        <w:tc>
          <w:tcPr>
            <w:tcW w:w="631" w:type="dxa"/>
            <w:shd w:val="clear" w:color="auto" w:fill="0070C0"/>
            <w:vAlign w:val="center"/>
            <w:hideMark/>
          </w:tcPr>
          <w:p w14:paraId="1276E141" w14:textId="77777777" w:rsidR="002016B1" w:rsidRPr="00B57304" w:rsidRDefault="002016B1" w:rsidP="00F523B7">
            <w:pPr>
              <w:spacing w:after="0" w:line="240" w:lineRule="auto"/>
              <w:jc w:val="center"/>
              <w:rPr>
                <w:rFonts w:ascii="Times New Roman" w:hAnsi="Times New Roman" w:cs="Times New Roman"/>
                <w:b/>
                <w:bCs/>
                <w:color w:val="FFFFFF" w:themeColor="background1"/>
                <w:sz w:val="20"/>
                <w:szCs w:val="20"/>
              </w:rPr>
            </w:pPr>
            <w:r w:rsidRPr="00B57304">
              <w:rPr>
                <w:rFonts w:ascii="Times New Roman" w:hAnsi="Times New Roman" w:cs="Times New Roman"/>
                <w:b/>
                <w:bCs/>
                <w:color w:val="FFFFFF" w:themeColor="background1"/>
                <w:sz w:val="20"/>
                <w:szCs w:val="20"/>
              </w:rPr>
              <w:t xml:space="preserve">Meets </w:t>
            </w:r>
            <w:r w:rsidRPr="00C22050">
              <w:rPr>
                <w:rFonts w:ascii="Times New Roman" w:hAnsi="Times New Roman" w:cs="Times New Roman"/>
                <w:b/>
                <w:bCs/>
                <w:color w:val="FFFFFF" w:themeColor="background1"/>
                <w:sz w:val="20"/>
                <w:szCs w:val="20"/>
              </w:rPr>
              <w:t>+/-</w:t>
            </w:r>
            <w:r w:rsidRPr="00B57304">
              <w:rPr>
                <w:rFonts w:ascii="Times New Roman" w:hAnsi="Times New Roman" w:cs="Times New Roman"/>
                <w:b/>
                <w:bCs/>
                <w:color w:val="FFFFFF" w:themeColor="background1"/>
                <w:sz w:val="20"/>
                <w:szCs w:val="20"/>
              </w:rPr>
              <w:t>State</w:t>
            </w:r>
          </w:p>
        </w:tc>
        <w:tc>
          <w:tcPr>
            <w:tcW w:w="810" w:type="dxa"/>
            <w:shd w:val="clear" w:color="auto" w:fill="00B050"/>
            <w:vAlign w:val="center"/>
            <w:hideMark/>
          </w:tcPr>
          <w:p w14:paraId="75AC2672" w14:textId="77777777" w:rsidR="002016B1" w:rsidRPr="00B57304" w:rsidRDefault="002016B1" w:rsidP="00F523B7">
            <w:pPr>
              <w:spacing w:after="0" w:line="240" w:lineRule="auto"/>
              <w:jc w:val="center"/>
              <w:rPr>
                <w:rFonts w:ascii="Times New Roman" w:hAnsi="Times New Roman" w:cs="Times New Roman"/>
                <w:b/>
                <w:bCs/>
                <w:color w:val="FFFFFF" w:themeColor="background1"/>
                <w:sz w:val="20"/>
                <w:szCs w:val="20"/>
              </w:rPr>
            </w:pPr>
            <w:r w:rsidRPr="00B57304">
              <w:rPr>
                <w:rFonts w:ascii="Times New Roman" w:hAnsi="Times New Roman" w:cs="Times New Roman"/>
                <w:b/>
                <w:bCs/>
                <w:color w:val="FFFFFF" w:themeColor="background1"/>
                <w:sz w:val="20"/>
                <w:szCs w:val="20"/>
              </w:rPr>
              <w:t xml:space="preserve">Masters </w:t>
            </w:r>
            <w:r w:rsidRPr="00C22050">
              <w:rPr>
                <w:rFonts w:ascii="Times New Roman" w:hAnsi="Times New Roman" w:cs="Times New Roman"/>
                <w:b/>
                <w:bCs/>
                <w:color w:val="FFFFFF" w:themeColor="background1"/>
                <w:sz w:val="20"/>
                <w:szCs w:val="20"/>
              </w:rPr>
              <w:t>+/-</w:t>
            </w:r>
            <w:r w:rsidRPr="00B57304">
              <w:rPr>
                <w:rFonts w:ascii="Times New Roman" w:hAnsi="Times New Roman" w:cs="Times New Roman"/>
                <w:b/>
                <w:bCs/>
                <w:color w:val="FFFFFF" w:themeColor="background1"/>
                <w:sz w:val="20"/>
                <w:szCs w:val="20"/>
              </w:rPr>
              <w:t>District</w:t>
            </w:r>
          </w:p>
        </w:tc>
        <w:tc>
          <w:tcPr>
            <w:tcW w:w="808" w:type="dxa"/>
            <w:shd w:val="clear" w:color="auto" w:fill="00B050"/>
            <w:hideMark/>
          </w:tcPr>
          <w:p w14:paraId="7EFD64DB" w14:textId="77777777" w:rsidR="00F523B7" w:rsidRDefault="002016B1" w:rsidP="00F523B7">
            <w:pPr>
              <w:spacing w:after="0" w:line="240" w:lineRule="auto"/>
              <w:jc w:val="center"/>
              <w:rPr>
                <w:rFonts w:ascii="Times New Roman" w:hAnsi="Times New Roman" w:cs="Times New Roman"/>
                <w:b/>
                <w:bCs/>
                <w:color w:val="FFFFFF" w:themeColor="background1"/>
                <w:sz w:val="20"/>
                <w:szCs w:val="20"/>
              </w:rPr>
            </w:pPr>
            <w:r w:rsidRPr="00B57304">
              <w:rPr>
                <w:rFonts w:ascii="Times New Roman" w:hAnsi="Times New Roman" w:cs="Times New Roman"/>
                <w:b/>
                <w:bCs/>
                <w:color w:val="FFFFFF" w:themeColor="background1"/>
                <w:sz w:val="20"/>
                <w:szCs w:val="20"/>
              </w:rPr>
              <w:t xml:space="preserve">Masters </w:t>
            </w:r>
            <w:r w:rsidRPr="00C22050">
              <w:rPr>
                <w:rFonts w:ascii="Times New Roman" w:hAnsi="Times New Roman" w:cs="Times New Roman"/>
                <w:b/>
                <w:bCs/>
                <w:color w:val="FFFFFF" w:themeColor="background1"/>
                <w:sz w:val="20"/>
                <w:szCs w:val="20"/>
              </w:rPr>
              <w:t>+/-</w:t>
            </w:r>
            <w:r w:rsidRPr="00B57304">
              <w:rPr>
                <w:rFonts w:ascii="Times New Roman" w:hAnsi="Times New Roman" w:cs="Times New Roman"/>
                <w:b/>
                <w:bCs/>
                <w:color w:val="FFFFFF" w:themeColor="background1"/>
                <w:sz w:val="20"/>
                <w:szCs w:val="20"/>
              </w:rPr>
              <w:t xml:space="preserve"> </w:t>
            </w:r>
          </w:p>
          <w:p w14:paraId="684BC737" w14:textId="324E4016" w:rsidR="002016B1" w:rsidRPr="00B57304" w:rsidRDefault="002016B1" w:rsidP="00F523B7">
            <w:pPr>
              <w:spacing w:after="0" w:line="240" w:lineRule="auto"/>
              <w:jc w:val="center"/>
              <w:rPr>
                <w:rFonts w:ascii="Times New Roman" w:hAnsi="Times New Roman" w:cs="Times New Roman"/>
                <w:b/>
                <w:bCs/>
                <w:color w:val="FFFFFF" w:themeColor="background1"/>
                <w:sz w:val="20"/>
                <w:szCs w:val="20"/>
              </w:rPr>
            </w:pPr>
            <w:r w:rsidRPr="00B57304">
              <w:rPr>
                <w:rFonts w:ascii="Times New Roman" w:hAnsi="Times New Roman" w:cs="Times New Roman"/>
                <w:b/>
                <w:bCs/>
                <w:color w:val="FFFFFF" w:themeColor="background1"/>
                <w:sz w:val="20"/>
                <w:szCs w:val="20"/>
              </w:rPr>
              <w:t>State</w:t>
            </w:r>
          </w:p>
        </w:tc>
      </w:tr>
      <w:tr w:rsidR="002016B1" w:rsidRPr="00C22050" w14:paraId="4038057D" w14:textId="77777777" w:rsidTr="000419EE">
        <w:trPr>
          <w:trHeight w:val="536"/>
          <w:tblCellSpacing w:w="15" w:type="dxa"/>
        </w:trPr>
        <w:tc>
          <w:tcPr>
            <w:tcW w:w="706" w:type="dxa"/>
            <w:shd w:val="clear" w:color="auto" w:fill="0070C0"/>
            <w:vAlign w:val="center"/>
            <w:hideMark/>
          </w:tcPr>
          <w:p w14:paraId="215E84BA" w14:textId="77777777" w:rsidR="002016B1" w:rsidRDefault="002016B1" w:rsidP="000419EE">
            <w:pPr>
              <w:spacing w:before="100" w:beforeAutospacing="1" w:after="100" w:afterAutospacing="1" w:line="240" w:lineRule="auto"/>
              <w:jc w:val="center"/>
              <w:rPr>
                <w:rFonts w:ascii="Times New Roman" w:hAnsi="Times New Roman" w:cs="Times New Roman"/>
                <w:color w:val="FFFFFF" w:themeColor="background1"/>
                <w:sz w:val="20"/>
                <w:szCs w:val="20"/>
              </w:rPr>
            </w:pPr>
            <w:r w:rsidRPr="00B57304">
              <w:rPr>
                <w:rFonts w:ascii="Times New Roman" w:hAnsi="Times New Roman" w:cs="Times New Roman"/>
                <w:color w:val="FFFFFF" w:themeColor="background1"/>
                <w:sz w:val="20"/>
                <w:szCs w:val="20"/>
              </w:rPr>
              <w:t>Cohort A</w:t>
            </w:r>
          </w:p>
          <w:p w14:paraId="6719255D" w14:textId="40970158" w:rsidR="005B28AD" w:rsidRPr="00B57304" w:rsidRDefault="005B28AD" w:rsidP="000419EE">
            <w:pPr>
              <w:spacing w:before="100" w:beforeAutospacing="1" w:after="100" w:afterAutospacing="1" w:line="240" w:lineRule="auto"/>
              <w:jc w:val="center"/>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2022</w:t>
            </w:r>
          </w:p>
        </w:tc>
        <w:tc>
          <w:tcPr>
            <w:tcW w:w="1464" w:type="dxa"/>
            <w:shd w:val="clear" w:color="auto" w:fill="auto"/>
            <w:vAlign w:val="center"/>
            <w:hideMark/>
          </w:tcPr>
          <w:p w14:paraId="4ABB60D6" w14:textId="77777777" w:rsidR="002016B1" w:rsidRPr="00B57304" w:rsidRDefault="002016B1" w:rsidP="000419EE">
            <w:pPr>
              <w:spacing w:before="100" w:beforeAutospacing="1" w:after="100" w:afterAutospacing="1" w:line="240" w:lineRule="auto"/>
              <w:jc w:val="center"/>
              <w:rPr>
                <w:rFonts w:ascii="Times New Roman" w:hAnsi="Times New Roman" w:cs="Times New Roman"/>
                <w:sz w:val="20"/>
                <w:szCs w:val="20"/>
              </w:rPr>
            </w:pPr>
            <w:r w:rsidRPr="00B57304">
              <w:rPr>
                <w:rFonts w:ascii="Times New Roman" w:hAnsi="Times New Roman" w:cs="Times New Roman"/>
                <w:sz w:val="20"/>
                <w:szCs w:val="20"/>
              </w:rPr>
              <w:t>Pre-Intervention</w:t>
            </w:r>
          </w:p>
        </w:tc>
        <w:tc>
          <w:tcPr>
            <w:tcW w:w="766" w:type="dxa"/>
            <w:shd w:val="clear" w:color="auto" w:fill="auto"/>
            <w:vAlign w:val="center"/>
            <w:hideMark/>
          </w:tcPr>
          <w:p w14:paraId="117EDBD8" w14:textId="77777777" w:rsidR="002016B1" w:rsidRPr="00B57304" w:rsidRDefault="002016B1" w:rsidP="000419EE">
            <w:pPr>
              <w:spacing w:before="100" w:beforeAutospacing="1" w:after="100" w:afterAutospacing="1" w:line="240" w:lineRule="auto"/>
              <w:jc w:val="center"/>
              <w:rPr>
                <w:rFonts w:ascii="Times New Roman" w:hAnsi="Times New Roman" w:cs="Times New Roman"/>
                <w:sz w:val="20"/>
                <w:szCs w:val="20"/>
              </w:rPr>
            </w:pPr>
            <w:r w:rsidRPr="00B57304">
              <w:rPr>
                <w:rFonts w:ascii="Times New Roman" w:hAnsi="Times New Roman" w:cs="Times New Roman"/>
                <w:sz w:val="20"/>
                <w:szCs w:val="20"/>
              </w:rPr>
              <w:t>-5%</w:t>
            </w:r>
          </w:p>
        </w:tc>
        <w:tc>
          <w:tcPr>
            <w:tcW w:w="631" w:type="dxa"/>
            <w:shd w:val="clear" w:color="auto" w:fill="auto"/>
            <w:vAlign w:val="center"/>
            <w:hideMark/>
          </w:tcPr>
          <w:p w14:paraId="4AC4A8BD" w14:textId="77777777" w:rsidR="002016B1" w:rsidRPr="00B57304" w:rsidRDefault="002016B1" w:rsidP="000419EE">
            <w:pPr>
              <w:spacing w:before="100" w:beforeAutospacing="1" w:after="100" w:afterAutospacing="1" w:line="240" w:lineRule="auto"/>
              <w:jc w:val="center"/>
              <w:rPr>
                <w:rFonts w:ascii="Times New Roman" w:hAnsi="Times New Roman" w:cs="Times New Roman"/>
                <w:sz w:val="20"/>
                <w:szCs w:val="20"/>
              </w:rPr>
            </w:pPr>
            <w:r w:rsidRPr="00B57304">
              <w:rPr>
                <w:rFonts w:ascii="Times New Roman" w:hAnsi="Times New Roman" w:cs="Times New Roman"/>
                <w:sz w:val="20"/>
                <w:szCs w:val="20"/>
              </w:rPr>
              <w:t>+1%</w:t>
            </w:r>
          </w:p>
        </w:tc>
        <w:tc>
          <w:tcPr>
            <w:tcW w:w="810" w:type="dxa"/>
            <w:shd w:val="clear" w:color="auto" w:fill="auto"/>
            <w:vAlign w:val="center"/>
            <w:hideMark/>
          </w:tcPr>
          <w:p w14:paraId="758A2822" w14:textId="77777777" w:rsidR="002016B1" w:rsidRPr="00B57304" w:rsidRDefault="002016B1" w:rsidP="000419EE">
            <w:pPr>
              <w:spacing w:before="100" w:beforeAutospacing="1" w:after="100" w:afterAutospacing="1" w:line="240" w:lineRule="auto"/>
              <w:jc w:val="center"/>
              <w:rPr>
                <w:rFonts w:ascii="Times New Roman" w:hAnsi="Times New Roman" w:cs="Times New Roman"/>
                <w:sz w:val="20"/>
                <w:szCs w:val="20"/>
              </w:rPr>
            </w:pPr>
            <w:r w:rsidRPr="00B57304">
              <w:rPr>
                <w:rFonts w:ascii="Times New Roman" w:hAnsi="Times New Roman" w:cs="Times New Roman"/>
                <w:sz w:val="20"/>
                <w:szCs w:val="20"/>
              </w:rPr>
              <w:t>-6%</w:t>
            </w:r>
          </w:p>
        </w:tc>
        <w:tc>
          <w:tcPr>
            <w:tcW w:w="808" w:type="dxa"/>
            <w:shd w:val="clear" w:color="auto" w:fill="auto"/>
            <w:vAlign w:val="center"/>
            <w:hideMark/>
          </w:tcPr>
          <w:p w14:paraId="50329983" w14:textId="77777777" w:rsidR="002016B1" w:rsidRPr="00B57304" w:rsidRDefault="002016B1" w:rsidP="000419EE">
            <w:pPr>
              <w:spacing w:before="100" w:beforeAutospacing="1" w:after="100" w:afterAutospacing="1" w:line="240" w:lineRule="auto"/>
              <w:jc w:val="center"/>
              <w:rPr>
                <w:rFonts w:ascii="Times New Roman" w:hAnsi="Times New Roman" w:cs="Times New Roman"/>
                <w:sz w:val="20"/>
                <w:szCs w:val="20"/>
              </w:rPr>
            </w:pPr>
            <w:r w:rsidRPr="00B57304">
              <w:rPr>
                <w:rFonts w:ascii="Times New Roman" w:hAnsi="Times New Roman" w:cs="Times New Roman"/>
                <w:sz w:val="20"/>
                <w:szCs w:val="20"/>
              </w:rPr>
              <w:t>-2%</w:t>
            </w:r>
          </w:p>
        </w:tc>
      </w:tr>
      <w:tr w:rsidR="002016B1" w:rsidRPr="00C22050" w14:paraId="71AAD9A7" w14:textId="77777777" w:rsidTr="000419EE">
        <w:trPr>
          <w:trHeight w:val="536"/>
          <w:tblCellSpacing w:w="15" w:type="dxa"/>
        </w:trPr>
        <w:tc>
          <w:tcPr>
            <w:tcW w:w="706" w:type="dxa"/>
            <w:shd w:val="clear" w:color="auto" w:fill="0070C0"/>
            <w:vAlign w:val="center"/>
            <w:hideMark/>
          </w:tcPr>
          <w:p w14:paraId="409D57E2" w14:textId="77777777" w:rsidR="002016B1" w:rsidRDefault="002016B1" w:rsidP="000419EE">
            <w:pPr>
              <w:spacing w:before="100" w:beforeAutospacing="1" w:after="100" w:afterAutospacing="1" w:line="240" w:lineRule="auto"/>
              <w:jc w:val="center"/>
              <w:rPr>
                <w:rFonts w:ascii="Times New Roman" w:hAnsi="Times New Roman" w:cs="Times New Roman"/>
                <w:color w:val="FFFFFF" w:themeColor="background1"/>
                <w:sz w:val="20"/>
                <w:szCs w:val="20"/>
              </w:rPr>
            </w:pPr>
            <w:r w:rsidRPr="00B57304">
              <w:rPr>
                <w:rFonts w:ascii="Times New Roman" w:hAnsi="Times New Roman" w:cs="Times New Roman"/>
                <w:color w:val="FFFFFF" w:themeColor="background1"/>
                <w:sz w:val="20"/>
                <w:szCs w:val="20"/>
              </w:rPr>
              <w:t>Cohort B</w:t>
            </w:r>
          </w:p>
          <w:p w14:paraId="40377084" w14:textId="7AE0B4A0" w:rsidR="005B28AD" w:rsidRPr="00B57304" w:rsidRDefault="005B28AD" w:rsidP="000419EE">
            <w:pPr>
              <w:spacing w:before="100" w:beforeAutospacing="1" w:after="100" w:afterAutospacing="1" w:line="240" w:lineRule="auto"/>
              <w:jc w:val="center"/>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20</w:t>
            </w:r>
            <w:r w:rsidR="00F91054">
              <w:rPr>
                <w:rFonts w:ascii="Times New Roman" w:hAnsi="Times New Roman" w:cs="Times New Roman"/>
                <w:color w:val="FFFFFF" w:themeColor="background1"/>
                <w:sz w:val="20"/>
                <w:szCs w:val="20"/>
              </w:rPr>
              <w:t>23</w:t>
            </w:r>
          </w:p>
        </w:tc>
        <w:tc>
          <w:tcPr>
            <w:tcW w:w="1464" w:type="dxa"/>
            <w:shd w:val="clear" w:color="auto" w:fill="DAE9F7" w:themeFill="text2" w:themeFillTint="1A"/>
            <w:vAlign w:val="center"/>
            <w:hideMark/>
          </w:tcPr>
          <w:p w14:paraId="29E44535" w14:textId="77777777" w:rsidR="002016B1" w:rsidRPr="00B57304" w:rsidRDefault="002016B1" w:rsidP="000419EE">
            <w:pPr>
              <w:spacing w:before="100" w:beforeAutospacing="1" w:after="100" w:afterAutospacing="1" w:line="240" w:lineRule="auto"/>
              <w:jc w:val="center"/>
              <w:rPr>
                <w:rFonts w:ascii="Times New Roman" w:hAnsi="Times New Roman" w:cs="Times New Roman"/>
                <w:sz w:val="20"/>
                <w:szCs w:val="20"/>
              </w:rPr>
            </w:pPr>
            <w:r w:rsidRPr="00B57304">
              <w:rPr>
                <w:rFonts w:ascii="Times New Roman" w:hAnsi="Times New Roman" w:cs="Times New Roman"/>
                <w:sz w:val="20"/>
                <w:szCs w:val="20"/>
              </w:rPr>
              <w:t>Transitional</w:t>
            </w:r>
          </w:p>
        </w:tc>
        <w:tc>
          <w:tcPr>
            <w:tcW w:w="766" w:type="dxa"/>
            <w:shd w:val="clear" w:color="auto" w:fill="DAE9F7" w:themeFill="text2" w:themeFillTint="1A"/>
            <w:vAlign w:val="center"/>
            <w:hideMark/>
          </w:tcPr>
          <w:p w14:paraId="353FC025" w14:textId="77777777" w:rsidR="002016B1" w:rsidRPr="00B57304" w:rsidRDefault="002016B1" w:rsidP="000419EE">
            <w:pPr>
              <w:spacing w:before="100" w:beforeAutospacing="1" w:after="100" w:afterAutospacing="1" w:line="240" w:lineRule="auto"/>
              <w:jc w:val="center"/>
              <w:rPr>
                <w:rFonts w:ascii="Times New Roman" w:hAnsi="Times New Roman" w:cs="Times New Roman"/>
                <w:sz w:val="20"/>
                <w:szCs w:val="20"/>
              </w:rPr>
            </w:pPr>
            <w:r w:rsidRPr="00B57304">
              <w:rPr>
                <w:rFonts w:ascii="Times New Roman" w:hAnsi="Times New Roman" w:cs="Times New Roman"/>
                <w:sz w:val="20"/>
                <w:szCs w:val="20"/>
              </w:rPr>
              <w:t>+3%</w:t>
            </w:r>
          </w:p>
        </w:tc>
        <w:tc>
          <w:tcPr>
            <w:tcW w:w="631" w:type="dxa"/>
            <w:shd w:val="clear" w:color="auto" w:fill="DAE9F7" w:themeFill="text2" w:themeFillTint="1A"/>
            <w:vAlign w:val="center"/>
            <w:hideMark/>
          </w:tcPr>
          <w:p w14:paraId="69BB26A0" w14:textId="77777777" w:rsidR="002016B1" w:rsidRPr="00B57304" w:rsidRDefault="002016B1" w:rsidP="000419EE">
            <w:pPr>
              <w:spacing w:before="100" w:beforeAutospacing="1" w:after="100" w:afterAutospacing="1" w:line="240" w:lineRule="auto"/>
              <w:jc w:val="center"/>
              <w:rPr>
                <w:rFonts w:ascii="Times New Roman" w:hAnsi="Times New Roman" w:cs="Times New Roman"/>
                <w:sz w:val="20"/>
                <w:szCs w:val="20"/>
              </w:rPr>
            </w:pPr>
            <w:r w:rsidRPr="00B57304">
              <w:rPr>
                <w:rFonts w:ascii="Times New Roman" w:hAnsi="Times New Roman" w:cs="Times New Roman"/>
                <w:sz w:val="20"/>
                <w:szCs w:val="20"/>
              </w:rPr>
              <w:t>+6%</w:t>
            </w:r>
          </w:p>
        </w:tc>
        <w:tc>
          <w:tcPr>
            <w:tcW w:w="810" w:type="dxa"/>
            <w:shd w:val="clear" w:color="auto" w:fill="DAE9F7" w:themeFill="text2" w:themeFillTint="1A"/>
            <w:vAlign w:val="center"/>
            <w:hideMark/>
          </w:tcPr>
          <w:p w14:paraId="4BC5CA80" w14:textId="026F2CD9" w:rsidR="002016B1" w:rsidRPr="00B57304" w:rsidRDefault="00D606CC" w:rsidP="000419EE">
            <w:pPr>
              <w:spacing w:before="100" w:beforeAutospacing="1" w:after="100" w:afterAutospacing="1" w:line="240" w:lineRule="auto"/>
              <w:jc w:val="center"/>
              <w:rPr>
                <w:rFonts w:ascii="Times New Roman" w:hAnsi="Times New Roman" w:cs="Times New Roman"/>
                <w:sz w:val="20"/>
                <w:szCs w:val="20"/>
              </w:rPr>
            </w:pPr>
            <w:r>
              <w:rPr>
                <w:rFonts w:ascii="Times New Roman" w:hAnsi="Times New Roman" w:cs="Times New Roman"/>
                <w:sz w:val="20"/>
                <w:szCs w:val="20"/>
              </w:rPr>
              <w:t>-</w:t>
            </w:r>
            <w:r w:rsidR="00C36191">
              <w:rPr>
                <w:rFonts w:ascii="Times New Roman" w:hAnsi="Times New Roman" w:cs="Times New Roman"/>
                <w:sz w:val="20"/>
                <w:szCs w:val="20"/>
              </w:rPr>
              <w:t>1</w:t>
            </w:r>
            <w:r w:rsidR="002016B1" w:rsidRPr="00B57304">
              <w:rPr>
                <w:rFonts w:ascii="Times New Roman" w:hAnsi="Times New Roman" w:cs="Times New Roman"/>
                <w:sz w:val="20"/>
                <w:szCs w:val="20"/>
              </w:rPr>
              <w:t>%</w:t>
            </w:r>
          </w:p>
        </w:tc>
        <w:tc>
          <w:tcPr>
            <w:tcW w:w="808" w:type="dxa"/>
            <w:shd w:val="clear" w:color="auto" w:fill="DAE9F7" w:themeFill="text2" w:themeFillTint="1A"/>
            <w:vAlign w:val="center"/>
            <w:hideMark/>
          </w:tcPr>
          <w:p w14:paraId="7DF66C6F" w14:textId="2E3498DE" w:rsidR="002016B1" w:rsidRPr="00B57304" w:rsidRDefault="007C1CC0" w:rsidP="000419EE">
            <w:pPr>
              <w:spacing w:before="100" w:beforeAutospacing="1" w:after="100" w:afterAutospacing="1" w:line="240" w:lineRule="auto"/>
              <w:jc w:val="center"/>
              <w:rPr>
                <w:rFonts w:ascii="Times New Roman" w:hAnsi="Times New Roman" w:cs="Times New Roman"/>
                <w:sz w:val="20"/>
                <w:szCs w:val="20"/>
              </w:rPr>
            </w:pPr>
            <w:r>
              <w:rPr>
                <w:rFonts w:ascii="Times New Roman" w:hAnsi="Times New Roman" w:cs="Times New Roman"/>
                <w:sz w:val="20"/>
                <w:szCs w:val="20"/>
              </w:rPr>
              <w:t>+2</w:t>
            </w:r>
            <w:r w:rsidR="002016B1" w:rsidRPr="00B57304">
              <w:rPr>
                <w:rFonts w:ascii="Times New Roman" w:hAnsi="Times New Roman" w:cs="Times New Roman"/>
                <w:sz w:val="20"/>
                <w:szCs w:val="20"/>
              </w:rPr>
              <w:t>%</w:t>
            </w:r>
          </w:p>
        </w:tc>
      </w:tr>
      <w:tr w:rsidR="002016B1" w:rsidRPr="00C22050" w14:paraId="79B4F2B1" w14:textId="77777777" w:rsidTr="000419EE">
        <w:trPr>
          <w:trHeight w:val="545"/>
          <w:tblCellSpacing w:w="15" w:type="dxa"/>
        </w:trPr>
        <w:tc>
          <w:tcPr>
            <w:tcW w:w="706" w:type="dxa"/>
            <w:shd w:val="clear" w:color="auto" w:fill="0070C0"/>
            <w:vAlign w:val="center"/>
            <w:hideMark/>
          </w:tcPr>
          <w:p w14:paraId="1D12CF94" w14:textId="77777777" w:rsidR="002016B1" w:rsidRDefault="002016B1" w:rsidP="000419EE">
            <w:pPr>
              <w:spacing w:before="100" w:beforeAutospacing="1" w:after="100" w:afterAutospacing="1" w:line="240" w:lineRule="auto"/>
              <w:jc w:val="center"/>
              <w:rPr>
                <w:rFonts w:ascii="Times New Roman" w:hAnsi="Times New Roman" w:cs="Times New Roman"/>
                <w:color w:val="FFFFFF" w:themeColor="background1"/>
                <w:sz w:val="20"/>
                <w:szCs w:val="20"/>
              </w:rPr>
            </w:pPr>
            <w:r w:rsidRPr="00B57304">
              <w:rPr>
                <w:rFonts w:ascii="Times New Roman" w:hAnsi="Times New Roman" w:cs="Times New Roman"/>
                <w:color w:val="FFFFFF" w:themeColor="background1"/>
                <w:sz w:val="20"/>
                <w:szCs w:val="20"/>
              </w:rPr>
              <w:t>Cohort C</w:t>
            </w:r>
          </w:p>
          <w:p w14:paraId="426CDB45" w14:textId="14525C6D" w:rsidR="00F91054" w:rsidRPr="00B57304" w:rsidRDefault="00F91054" w:rsidP="000419EE">
            <w:pPr>
              <w:spacing w:before="100" w:beforeAutospacing="1" w:after="100" w:afterAutospacing="1" w:line="240" w:lineRule="auto"/>
              <w:jc w:val="center"/>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2024</w:t>
            </w:r>
          </w:p>
        </w:tc>
        <w:tc>
          <w:tcPr>
            <w:tcW w:w="1464" w:type="dxa"/>
            <w:shd w:val="clear" w:color="auto" w:fill="A5C9EB" w:themeFill="text2" w:themeFillTint="40"/>
            <w:vAlign w:val="center"/>
            <w:hideMark/>
          </w:tcPr>
          <w:p w14:paraId="6524CCCB" w14:textId="77777777" w:rsidR="002016B1" w:rsidRPr="00B57304" w:rsidRDefault="002016B1" w:rsidP="000419EE">
            <w:pPr>
              <w:spacing w:before="100" w:beforeAutospacing="1" w:after="100" w:afterAutospacing="1" w:line="240" w:lineRule="auto"/>
              <w:jc w:val="center"/>
              <w:rPr>
                <w:rFonts w:ascii="Times New Roman" w:hAnsi="Times New Roman" w:cs="Times New Roman"/>
                <w:b/>
                <w:bCs/>
                <w:sz w:val="20"/>
                <w:szCs w:val="20"/>
              </w:rPr>
            </w:pPr>
            <w:r w:rsidRPr="00B57304">
              <w:rPr>
                <w:rFonts w:ascii="Times New Roman" w:hAnsi="Times New Roman" w:cs="Times New Roman"/>
                <w:b/>
                <w:bCs/>
                <w:sz w:val="20"/>
                <w:szCs w:val="20"/>
              </w:rPr>
              <w:t>Full Implementation</w:t>
            </w:r>
          </w:p>
        </w:tc>
        <w:tc>
          <w:tcPr>
            <w:tcW w:w="766" w:type="dxa"/>
            <w:shd w:val="clear" w:color="auto" w:fill="A5C9EB" w:themeFill="text2" w:themeFillTint="40"/>
            <w:vAlign w:val="center"/>
            <w:hideMark/>
          </w:tcPr>
          <w:p w14:paraId="4FD162B5" w14:textId="77777777" w:rsidR="002016B1" w:rsidRPr="00B57304" w:rsidRDefault="002016B1" w:rsidP="000419EE">
            <w:pPr>
              <w:spacing w:before="100" w:beforeAutospacing="1" w:after="100" w:afterAutospacing="1" w:line="240" w:lineRule="auto"/>
              <w:jc w:val="center"/>
              <w:rPr>
                <w:rFonts w:ascii="Times New Roman" w:hAnsi="Times New Roman" w:cs="Times New Roman"/>
                <w:b/>
                <w:bCs/>
                <w:sz w:val="20"/>
                <w:szCs w:val="20"/>
              </w:rPr>
            </w:pPr>
            <w:r w:rsidRPr="00B57304">
              <w:rPr>
                <w:rFonts w:ascii="Times New Roman" w:hAnsi="Times New Roman" w:cs="Times New Roman"/>
                <w:b/>
                <w:bCs/>
                <w:sz w:val="20"/>
                <w:szCs w:val="20"/>
              </w:rPr>
              <w:t>+4%</w:t>
            </w:r>
          </w:p>
        </w:tc>
        <w:tc>
          <w:tcPr>
            <w:tcW w:w="631" w:type="dxa"/>
            <w:shd w:val="clear" w:color="auto" w:fill="A5C9EB" w:themeFill="text2" w:themeFillTint="40"/>
            <w:vAlign w:val="center"/>
            <w:hideMark/>
          </w:tcPr>
          <w:p w14:paraId="2EC4A73A" w14:textId="77777777" w:rsidR="002016B1" w:rsidRPr="00B57304" w:rsidRDefault="002016B1" w:rsidP="000419EE">
            <w:pPr>
              <w:spacing w:before="100" w:beforeAutospacing="1" w:after="100" w:afterAutospacing="1" w:line="240" w:lineRule="auto"/>
              <w:jc w:val="center"/>
              <w:rPr>
                <w:rFonts w:ascii="Times New Roman" w:hAnsi="Times New Roman" w:cs="Times New Roman"/>
                <w:b/>
                <w:bCs/>
                <w:sz w:val="20"/>
                <w:szCs w:val="20"/>
              </w:rPr>
            </w:pPr>
            <w:r w:rsidRPr="00B57304">
              <w:rPr>
                <w:rFonts w:ascii="Times New Roman" w:hAnsi="Times New Roman" w:cs="Times New Roman"/>
                <w:b/>
                <w:bCs/>
                <w:sz w:val="20"/>
                <w:szCs w:val="20"/>
              </w:rPr>
              <w:t>+5%</w:t>
            </w:r>
          </w:p>
        </w:tc>
        <w:tc>
          <w:tcPr>
            <w:tcW w:w="810" w:type="dxa"/>
            <w:shd w:val="clear" w:color="auto" w:fill="A5C9EB" w:themeFill="text2" w:themeFillTint="40"/>
            <w:vAlign w:val="center"/>
            <w:hideMark/>
          </w:tcPr>
          <w:p w14:paraId="49501E02" w14:textId="77777777" w:rsidR="002016B1" w:rsidRPr="00B57304" w:rsidRDefault="002016B1" w:rsidP="000419EE">
            <w:pPr>
              <w:spacing w:before="100" w:beforeAutospacing="1" w:after="100" w:afterAutospacing="1" w:line="240" w:lineRule="auto"/>
              <w:jc w:val="center"/>
              <w:rPr>
                <w:rFonts w:ascii="Times New Roman" w:hAnsi="Times New Roman" w:cs="Times New Roman"/>
                <w:b/>
                <w:bCs/>
                <w:sz w:val="20"/>
                <w:szCs w:val="20"/>
              </w:rPr>
            </w:pPr>
            <w:r w:rsidRPr="00B57304">
              <w:rPr>
                <w:rFonts w:ascii="Times New Roman" w:hAnsi="Times New Roman" w:cs="Times New Roman"/>
                <w:b/>
                <w:bCs/>
                <w:sz w:val="20"/>
                <w:szCs w:val="20"/>
              </w:rPr>
              <w:t>+3%</w:t>
            </w:r>
          </w:p>
        </w:tc>
        <w:tc>
          <w:tcPr>
            <w:tcW w:w="808" w:type="dxa"/>
            <w:shd w:val="clear" w:color="auto" w:fill="A5C9EB" w:themeFill="text2" w:themeFillTint="40"/>
            <w:vAlign w:val="center"/>
            <w:hideMark/>
          </w:tcPr>
          <w:p w14:paraId="219C0693" w14:textId="77777777" w:rsidR="002016B1" w:rsidRPr="00B57304" w:rsidRDefault="002016B1" w:rsidP="000419EE">
            <w:pPr>
              <w:spacing w:before="100" w:beforeAutospacing="1" w:after="100" w:afterAutospacing="1" w:line="240" w:lineRule="auto"/>
              <w:jc w:val="center"/>
              <w:rPr>
                <w:rFonts w:ascii="Times New Roman" w:hAnsi="Times New Roman" w:cs="Times New Roman"/>
                <w:b/>
                <w:bCs/>
                <w:sz w:val="20"/>
                <w:szCs w:val="20"/>
              </w:rPr>
            </w:pPr>
            <w:r w:rsidRPr="00B57304">
              <w:rPr>
                <w:rFonts w:ascii="Times New Roman" w:hAnsi="Times New Roman" w:cs="Times New Roman"/>
                <w:b/>
                <w:bCs/>
                <w:sz w:val="20"/>
                <w:szCs w:val="20"/>
              </w:rPr>
              <w:t>+4%</w:t>
            </w:r>
          </w:p>
        </w:tc>
      </w:tr>
    </w:tbl>
    <w:p w14:paraId="46E02396" w14:textId="14058B51" w:rsidR="00E608B7" w:rsidRPr="005866BF" w:rsidRDefault="006137C8">
      <w:pPr>
        <w:rPr>
          <w:rFonts w:ascii="Times New Roman" w:hAnsi="Times New Roman" w:cs="Times New Roman"/>
        </w:rPr>
      </w:pPr>
      <w:r w:rsidRPr="005866BF">
        <w:rPr>
          <w:rFonts w:ascii="Times New Roman" w:hAnsi="Times New Roman" w:cs="Times New Roman"/>
          <w:noProof/>
        </w:rPr>
        <w:drawing>
          <wp:anchor distT="0" distB="0" distL="114300" distR="114300" simplePos="0" relativeHeight="251659264" behindDoc="1" locked="0" layoutInCell="1" allowOverlap="1" wp14:anchorId="70AD7681" wp14:editId="3909EC1F">
            <wp:simplePos x="0" y="0"/>
            <wp:positionH relativeFrom="margin">
              <wp:posOffset>-689623</wp:posOffset>
            </wp:positionH>
            <wp:positionV relativeFrom="paragraph">
              <wp:posOffset>414747</wp:posOffset>
            </wp:positionV>
            <wp:extent cx="3730917" cy="2159077"/>
            <wp:effectExtent l="0" t="0" r="3175" b="0"/>
            <wp:wrapNone/>
            <wp:docPr id="317590149"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90149" name="Picture 1" descr="A graph of a number of peopl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0917" cy="2159077"/>
                    </a:xfrm>
                    <a:prstGeom prst="rect">
                      <a:avLst/>
                    </a:prstGeom>
                  </pic:spPr>
                </pic:pic>
              </a:graphicData>
            </a:graphic>
            <wp14:sizeRelH relativeFrom="margin">
              <wp14:pctWidth>0</wp14:pctWidth>
            </wp14:sizeRelH>
            <wp14:sizeRelV relativeFrom="margin">
              <wp14:pctHeight>0</wp14:pctHeight>
            </wp14:sizeRelV>
          </wp:anchor>
        </w:drawing>
      </w:r>
      <w:r w:rsidR="00E608B7" w:rsidRPr="005866BF">
        <w:rPr>
          <w:rFonts w:ascii="Times New Roman" w:hAnsi="Times New Roman" w:cs="Times New Roman"/>
          <w:sz w:val="20"/>
          <w:szCs w:val="20"/>
        </w:rPr>
        <w:br w:type="page"/>
      </w:r>
      <w:r w:rsidR="00E608B7" w:rsidRPr="005866BF">
        <w:rPr>
          <w:rFonts w:ascii="Times New Roman" w:hAnsi="Times New Roman" w:cs="Times New Roman"/>
        </w:rPr>
        <w:lastRenderedPageBreak/>
        <w:t xml:space="preserve">Cohorts B and C demonstrated Meets and Masters </w:t>
      </w:r>
      <w:proofErr w:type="gramStart"/>
      <w:r w:rsidR="00E608B7" w:rsidRPr="005866BF">
        <w:rPr>
          <w:rFonts w:ascii="Times New Roman" w:hAnsi="Times New Roman" w:cs="Times New Roman"/>
        </w:rPr>
        <w:t>gains</w:t>
      </w:r>
      <w:proofErr w:type="gramEnd"/>
      <w:r w:rsidR="00E608B7" w:rsidRPr="005866BF">
        <w:rPr>
          <w:rFonts w:ascii="Times New Roman" w:hAnsi="Times New Roman" w:cs="Times New Roman"/>
        </w:rPr>
        <w:t xml:space="preserve"> equal to or exceeding both district and state outcomes. Although Cohort A’s overall performance aligned with state trends at the Approaches level, outcomes at Meets and Masters trailed district and state benchmarks by up to 6 percentage points. In 2023, Cohort B outperformed the district and state by up to 6 points at Meets (63% vs. 60%, 57%) and 4 points at Masters (29% vs. 27%, 25%), despite limited bilingual staffing and the absence of a Grade 5 Reading teacher. The following year, Cohort C maintained this upward trajectory, scoring 59% at Meets (vs. 55% district, 54% state) and 31% at Masters (vs. 28% district, 27% state). While Approaches-level performance remained consistent, these results signal the system’s effectiveness in advancing students beyond basic proficiency into higher levels of comprehension and analytical thinking.</w:t>
      </w:r>
    </w:p>
    <w:p w14:paraId="6C8BAE5E" w14:textId="77777777" w:rsidR="00E608B7" w:rsidRPr="005866BF" w:rsidRDefault="00E608B7" w:rsidP="00696C0B">
      <w:pPr>
        <w:rPr>
          <w:rFonts w:ascii="Times New Roman" w:hAnsi="Times New Roman" w:cs="Times New Roman"/>
        </w:rPr>
      </w:pPr>
    </w:p>
    <w:p w14:paraId="1169E6EA" w14:textId="0191412E" w:rsidR="00696C0B" w:rsidRPr="005866BF" w:rsidRDefault="00EC5AE7" w:rsidP="00696C0B">
      <w:pPr>
        <w:ind w:left="360"/>
        <w:rPr>
          <w:rFonts w:ascii="Times New Roman" w:hAnsi="Times New Roman" w:cs="Times New Roman"/>
        </w:rPr>
      </w:pPr>
      <w:r w:rsidRPr="005866BF">
        <w:rPr>
          <w:rFonts w:ascii="Times New Roman" w:hAnsi="Times New Roman" w:cs="Times New Roman"/>
          <w:noProof/>
        </w:rPr>
        <w:drawing>
          <wp:anchor distT="0" distB="0" distL="114300" distR="114300" simplePos="0" relativeHeight="251660288" behindDoc="0" locked="0" layoutInCell="1" allowOverlap="1" wp14:anchorId="321D6613" wp14:editId="05D1BC59">
            <wp:simplePos x="0" y="0"/>
            <wp:positionH relativeFrom="column">
              <wp:posOffset>-111571</wp:posOffset>
            </wp:positionH>
            <wp:positionV relativeFrom="paragraph">
              <wp:posOffset>41120</wp:posOffset>
            </wp:positionV>
            <wp:extent cx="5943600" cy="3652520"/>
            <wp:effectExtent l="0" t="0" r="0" b="5080"/>
            <wp:wrapNone/>
            <wp:docPr id="952560198" name="Picture 2"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60198" name="Picture 2" descr="A graph of a bar char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anchor>
        </w:drawing>
      </w:r>
      <w:r w:rsidR="00696C0B" w:rsidRPr="005866BF">
        <w:rPr>
          <w:rFonts w:ascii="Times New Roman" w:hAnsi="Times New Roman" w:cs="Times New Roman"/>
        </w:rPr>
        <w:t>content areas, emphasized writing as a tool for meaning-making, and supported students in navigating texts, language, and ideas even when the data didn’t yet show it.</w:t>
      </w:r>
    </w:p>
    <w:p w14:paraId="6F44BD63" w14:textId="6EF41C28" w:rsidR="00D044BA" w:rsidRDefault="00D044BA" w:rsidP="00BD22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470E82" w14:textId="77777777" w:rsidR="00EC5AE7" w:rsidRPr="00EC5AE7" w:rsidRDefault="00EC5AE7" w:rsidP="00EC5AE7">
      <w:pPr>
        <w:rPr>
          <w:rFonts w:ascii="Times New Roman" w:eastAsia="Times New Roman" w:hAnsi="Times New Roman" w:cs="Times New Roman"/>
          <w:sz w:val="27"/>
          <w:szCs w:val="27"/>
        </w:rPr>
      </w:pPr>
    </w:p>
    <w:p w14:paraId="6F8EA11C" w14:textId="77777777" w:rsidR="00EC5AE7" w:rsidRPr="00EC5AE7" w:rsidRDefault="00EC5AE7" w:rsidP="00EC5AE7">
      <w:pPr>
        <w:rPr>
          <w:rFonts w:ascii="Times New Roman" w:eastAsia="Times New Roman" w:hAnsi="Times New Roman" w:cs="Times New Roman"/>
          <w:sz w:val="27"/>
          <w:szCs w:val="27"/>
        </w:rPr>
      </w:pPr>
    </w:p>
    <w:p w14:paraId="7DC5A878" w14:textId="77777777" w:rsidR="00EC5AE7" w:rsidRPr="00EC5AE7" w:rsidRDefault="00EC5AE7" w:rsidP="00EC5AE7">
      <w:pPr>
        <w:rPr>
          <w:rFonts w:ascii="Times New Roman" w:eastAsia="Times New Roman" w:hAnsi="Times New Roman" w:cs="Times New Roman"/>
          <w:sz w:val="27"/>
          <w:szCs w:val="27"/>
        </w:rPr>
      </w:pPr>
    </w:p>
    <w:p w14:paraId="10C57EDE" w14:textId="77777777" w:rsidR="00EC5AE7" w:rsidRPr="00EC5AE7" w:rsidRDefault="00EC5AE7" w:rsidP="00EC5AE7">
      <w:pPr>
        <w:rPr>
          <w:rFonts w:ascii="Times New Roman" w:eastAsia="Times New Roman" w:hAnsi="Times New Roman" w:cs="Times New Roman"/>
          <w:sz w:val="27"/>
          <w:szCs w:val="27"/>
        </w:rPr>
      </w:pPr>
    </w:p>
    <w:p w14:paraId="486E4603" w14:textId="77777777" w:rsidR="00EC5AE7" w:rsidRPr="00EC5AE7" w:rsidRDefault="00EC5AE7" w:rsidP="00EC5AE7">
      <w:pPr>
        <w:rPr>
          <w:rFonts w:ascii="Times New Roman" w:eastAsia="Times New Roman" w:hAnsi="Times New Roman" w:cs="Times New Roman"/>
          <w:sz w:val="27"/>
          <w:szCs w:val="27"/>
        </w:rPr>
      </w:pPr>
    </w:p>
    <w:p w14:paraId="6BF75DF7" w14:textId="77777777" w:rsidR="00EC5AE7" w:rsidRPr="00EC5AE7" w:rsidRDefault="00EC5AE7" w:rsidP="00EC5AE7">
      <w:pPr>
        <w:rPr>
          <w:rFonts w:ascii="Times New Roman" w:eastAsia="Times New Roman" w:hAnsi="Times New Roman" w:cs="Times New Roman"/>
          <w:sz w:val="27"/>
          <w:szCs w:val="27"/>
        </w:rPr>
      </w:pPr>
    </w:p>
    <w:p w14:paraId="2E27FBBF" w14:textId="77777777" w:rsidR="00EC5AE7" w:rsidRPr="00EC5AE7" w:rsidRDefault="00EC5AE7" w:rsidP="00EC5AE7">
      <w:pPr>
        <w:rPr>
          <w:rFonts w:ascii="Times New Roman" w:eastAsia="Times New Roman" w:hAnsi="Times New Roman" w:cs="Times New Roman"/>
          <w:sz w:val="27"/>
          <w:szCs w:val="27"/>
        </w:rPr>
      </w:pPr>
    </w:p>
    <w:p w14:paraId="250F4A6E" w14:textId="77777777" w:rsidR="00EC5AE7" w:rsidRPr="00EC5AE7" w:rsidRDefault="00EC5AE7" w:rsidP="00EC5AE7">
      <w:pPr>
        <w:rPr>
          <w:rFonts w:ascii="Times New Roman" w:eastAsia="Times New Roman" w:hAnsi="Times New Roman" w:cs="Times New Roman"/>
          <w:sz w:val="27"/>
          <w:szCs w:val="27"/>
        </w:rPr>
      </w:pPr>
    </w:p>
    <w:p w14:paraId="6418130E" w14:textId="77777777" w:rsidR="00EC5AE7" w:rsidRDefault="00EC5AE7" w:rsidP="00EC5AE7">
      <w:pPr>
        <w:rPr>
          <w:rFonts w:ascii="Times New Roman" w:eastAsia="Times New Roman" w:hAnsi="Times New Roman" w:cs="Times New Roman"/>
          <w:b/>
          <w:bCs/>
          <w:kern w:val="0"/>
          <w:sz w:val="27"/>
          <w:szCs w:val="27"/>
          <w14:ligatures w14:val="none"/>
        </w:rPr>
      </w:pPr>
    </w:p>
    <w:p w14:paraId="47419E74" w14:textId="77777777" w:rsidR="007D4DA5" w:rsidRDefault="00EC5AE7" w:rsidP="005A09EA">
      <w:pPr>
        <w:tabs>
          <w:tab w:val="left" w:pos="3590"/>
        </w:tabs>
        <w:rPr>
          <w:rFonts w:ascii="Times New Roman" w:eastAsia="Times New Roman" w:hAnsi="Times New Roman" w:cs="Times New Roman"/>
          <w:sz w:val="27"/>
          <w:szCs w:val="27"/>
        </w:rPr>
      </w:pPr>
      <w:r w:rsidRPr="00EC5AE7">
        <w:rPr>
          <w:rFonts w:ascii="Times New Roman" w:eastAsia="Times New Roman" w:hAnsi="Times New Roman" w:cs="Times New Roman"/>
          <w:sz w:val="27"/>
          <w:szCs w:val="27"/>
        </w:rPr>
        <w:t>Accelerated learning outcomes further underscore the system’s impact on students requiring intensive support. In 2023, 35% of students in Cohort B who had failed the prior year’s STAAR assessment reached the passing standard, trailing the district by 9 points and the state by 2. By 2024, that trend reversed: 47% of Cohort C’s accelerated students passed, exceeding the district by 10 points and the state by 12</w:t>
      </w:r>
      <w:r w:rsidR="00F01252">
        <w:rPr>
          <w:rFonts w:ascii="Times New Roman" w:eastAsia="Times New Roman" w:hAnsi="Times New Roman" w:cs="Times New Roman"/>
          <w:sz w:val="27"/>
          <w:szCs w:val="27"/>
        </w:rPr>
        <w:t>. These</w:t>
      </w:r>
      <w:r w:rsidRPr="00EC5AE7">
        <w:rPr>
          <w:rFonts w:ascii="Times New Roman" w:eastAsia="Times New Roman" w:hAnsi="Times New Roman" w:cs="Times New Roman"/>
          <w:sz w:val="27"/>
          <w:szCs w:val="27"/>
        </w:rPr>
        <w:t xml:space="preserve"> gain</w:t>
      </w:r>
      <w:r w:rsidR="00F01252">
        <w:rPr>
          <w:rFonts w:ascii="Times New Roman" w:eastAsia="Times New Roman" w:hAnsi="Times New Roman" w:cs="Times New Roman"/>
          <w:sz w:val="27"/>
          <w:szCs w:val="27"/>
        </w:rPr>
        <w:t>s</w:t>
      </w:r>
      <w:r w:rsidRPr="00EC5AE7">
        <w:rPr>
          <w:rFonts w:ascii="Times New Roman" w:eastAsia="Times New Roman" w:hAnsi="Times New Roman" w:cs="Times New Roman"/>
          <w:sz w:val="27"/>
          <w:szCs w:val="27"/>
        </w:rPr>
        <w:t xml:space="preserve"> reflect the impact of </w:t>
      </w:r>
      <w:r w:rsidR="005A09EA">
        <w:rPr>
          <w:rFonts w:ascii="Times New Roman" w:eastAsia="Times New Roman" w:hAnsi="Times New Roman" w:cs="Times New Roman"/>
          <w:sz w:val="27"/>
          <w:szCs w:val="27"/>
        </w:rPr>
        <w:t>their</w:t>
      </w:r>
      <w:r w:rsidRPr="00EC5AE7">
        <w:rPr>
          <w:rFonts w:ascii="Times New Roman" w:eastAsia="Times New Roman" w:hAnsi="Times New Roman" w:cs="Times New Roman"/>
          <w:sz w:val="27"/>
          <w:szCs w:val="27"/>
        </w:rPr>
        <w:t xml:space="preserve"> intervention model</w:t>
      </w:r>
      <w:r w:rsidR="005A09EA">
        <w:rPr>
          <w:rFonts w:ascii="Times New Roman" w:eastAsia="Times New Roman" w:hAnsi="Times New Roman" w:cs="Times New Roman"/>
          <w:sz w:val="27"/>
          <w:szCs w:val="27"/>
        </w:rPr>
        <w:t xml:space="preserve">. </w:t>
      </w:r>
    </w:p>
    <w:p w14:paraId="2073C220" w14:textId="17E85640" w:rsidR="00437BCE" w:rsidRDefault="00245270" w:rsidP="005A09EA">
      <w:pPr>
        <w:tabs>
          <w:tab w:val="left" w:pos="3590"/>
        </w:tabs>
        <w:rPr>
          <w:rFonts w:ascii="Times New Roman" w:eastAsia="Times New Roman" w:hAnsi="Times New Roman" w:cs="Times New Roman"/>
          <w:sz w:val="27"/>
          <w:szCs w:val="27"/>
        </w:rPr>
      </w:pPr>
      <w:r w:rsidRPr="005866BF">
        <w:rPr>
          <w:rFonts w:ascii="Times New Roman" w:hAnsi="Times New Roman" w:cs="Times New Roman"/>
          <w:noProof/>
        </w:rPr>
        <w:lastRenderedPageBreak/>
        <w:drawing>
          <wp:inline distT="0" distB="0" distL="0" distR="0" wp14:anchorId="679899A3" wp14:editId="67FF6BFD">
            <wp:extent cx="5943600" cy="2931160"/>
            <wp:effectExtent l="0" t="0" r="0" b="2540"/>
            <wp:docPr id="1619031843" name="Picture 3"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31843" name="Picture 3" descr="A graph of a bar 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14:paraId="7DBB58F6" w14:textId="77777777" w:rsidR="00CE1C2D" w:rsidRDefault="00437BCE" w:rsidP="005A09EA">
      <w:pPr>
        <w:tabs>
          <w:tab w:val="left" w:pos="3590"/>
        </w:tabs>
        <w:rPr>
          <w:rFonts w:ascii="Times New Roman" w:hAnsi="Times New Roman" w:cs="Times New Roman"/>
        </w:rPr>
      </w:pPr>
      <w:r w:rsidRPr="00437BCE">
        <w:rPr>
          <w:rFonts w:ascii="Times New Roman" w:hAnsi="Times New Roman" w:cs="Times New Roman"/>
        </w:rPr>
        <w:t xml:space="preserve">Emergent Bilingual students consistently outperformed the district at Meets and </w:t>
      </w:r>
      <w:proofErr w:type="gramStart"/>
      <w:r w:rsidRPr="00437BCE">
        <w:rPr>
          <w:rFonts w:ascii="Times New Roman" w:hAnsi="Times New Roman" w:cs="Times New Roman"/>
        </w:rPr>
        <w:t>Masters</w:t>
      </w:r>
      <w:proofErr w:type="gramEnd"/>
      <w:r w:rsidRPr="00437BCE">
        <w:rPr>
          <w:rFonts w:ascii="Times New Roman" w:hAnsi="Times New Roman" w:cs="Times New Roman"/>
        </w:rPr>
        <w:t xml:space="preserve"> across all three cohorts. In 2022, Cohort A led by 11 points at Meets (70% vs. 59%) and 7 at Masters (45% vs. 38%). Cohort B sustained that edge in 2023, with an 8-point lead at Meets and 6 at Masters—despite bilingual staffing shortages. In 2024, Cohort C maintained the advantage, outperforming the district by 2 points at Meets and 3 at Masters. While structured supports like annotation and academic discourse reinforced gains in comprehension, the narrowing margin following the introduction of cross-content writing in 2023 suggests a need for deeper analysis of EL students’ writing development.</w:t>
      </w:r>
      <w:r w:rsidR="00245270" w:rsidRPr="005866BF">
        <w:rPr>
          <w:rFonts w:ascii="Times New Roman" w:hAnsi="Times New Roman" w:cs="Times New Roman"/>
          <w:noProof/>
        </w:rPr>
        <w:drawing>
          <wp:inline distT="0" distB="0" distL="0" distR="0" wp14:anchorId="2C8EB5B5" wp14:editId="2BD4A909">
            <wp:extent cx="5943600" cy="2931160"/>
            <wp:effectExtent l="0" t="0" r="0" b="2540"/>
            <wp:docPr id="135824409" name="Picture 4"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4409" name="Picture 4" descr="A graph of a number of peopl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14:paraId="0F5EA8B6" w14:textId="141AC764" w:rsidR="00245270" w:rsidRDefault="00CE1C2D" w:rsidP="005A09EA">
      <w:pPr>
        <w:tabs>
          <w:tab w:val="left" w:pos="3590"/>
        </w:tabs>
        <w:rPr>
          <w:rFonts w:ascii="Times New Roman" w:hAnsi="Times New Roman" w:cs="Times New Roman"/>
        </w:rPr>
      </w:pPr>
      <w:r w:rsidRPr="00CE1C2D">
        <w:rPr>
          <w:rFonts w:ascii="Times New Roman" w:hAnsi="Times New Roman" w:cs="Times New Roman"/>
          <w:highlight w:val="yellow"/>
        </w:rPr>
        <w:t>YOU MUST REVIEW AND REVISE</w:t>
      </w:r>
      <w:r>
        <w:rPr>
          <w:rFonts w:ascii="Times New Roman" w:hAnsi="Times New Roman" w:cs="Times New Roman"/>
        </w:rPr>
        <w:t xml:space="preserve"> </w:t>
      </w:r>
      <w:r w:rsidRPr="00CE1C2D">
        <w:rPr>
          <w:rFonts w:ascii="Times New Roman" w:hAnsi="Times New Roman" w:cs="Times New Roman"/>
        </w:rPr>
        <w:t xml:space="preserve">Special education outcomes illustrate both the fragility and resilience of system design. In 2022, Cohort A outperformed the district by 15 points at </w:t>
      </w:r>
      <w:r w:rsidRPr="00CE1C2D">
        <w:rPr>
          <w:rFonts w:ascii="Times New Roman" w:hAnsi="Times New Roman" w:cs="Times New Roman"/>
        </w:rPr>
        <w:lastRenderedPageBreak/>
        <w:t xml:space="preserve">Approaches (67% vs. 52%) and 6 at Meets (33% vs. 27%), though no students reached the </w:t>
      </w:r>
      <w:proofErr w:type="gramStart"/>
      <w:r w:rsidRPr="00CE1C2D">
        <w:rPr>
          <w:rFonts w:ascii="Times New Roman" w:hAnsi="Times New Roman" w:cs="Times New Roman"/>
        </w:rPr>
        <w:t>Masters</w:t>
      </w:r>
      <w:proofErr w:type="gramEnd"/>
      <w:r w:rsidRPr="00CE1C2D">
        <w:rPr>
          <w:rFonts w:ascii="Times New Roman" w:hAnsi="Times New Roman" w:cs="Times New Roman"/>
        </w:rPr>
        <w:t xml:space="preserve"> level. A performance dip in 2023, particularly at Meets, signaled that the initial intervention design needed stronger alignment to the cognitive demands of reading for students receiving specialized services. By 2024, those adjustments took hold: Cohort C surpassed the district by 22 points at Approaches, 16 at Meets, and 11 at Masters—marking the group’s first year of full-tier comparative outperformance. These results affirm that when instructional routines are made accessible, scaffolded intentionally, and consistently applied, even small cohorts of high-need learners can demonstrate accelerated literacy growth.</w:t>
      </w:r>
      <w:r w:rsidR="00245270" w:rsidRPr="005866BF">
        <w:rPr>
          <w:rFonts w:ascii="Times New Roman" w:hAnsi="Times New Roman" w:cs="Times New Roman"/>
          <w:noProof/>
        </w:rPr>
        <w:drawing>
          <wp:inline distT="0" distB="0" distL="0" distR="0" wp14:anchorId="4A0A0DDD" wp14:editId="3FB8BB06">
            <wp:extent cx="5943600" cy="2931160"/>
            <wp:effectExtent l="0" t="0" r="0" b="2540"/>
            <wp:docPr id="770908754" name="Picture 5"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08754" name="Picture 5" descr="A graph of a number of peopl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14:paraId="26521B1B" w14:textId="77777777" w:rsidR="003E064B" w:rsidRDefault="003E064B" w:rsidP="003E064B">
      <w:pPr>
        <w:tabs>
          <w:tab w:val="left" w:pos="3590"/>
        </w:tabs>
        <w:rPr>
          <w:rFonts w:ascii="Times New Roman" w:hAnsi="Times New Roman" w:cs="Times New Roman"/>
        </w:rPr>
      </w:pPr>
      <w:r w:rsidRPr="003E064B">
        <w:rPr>
          <w:rFonts w:ascii="Times New Roman" w:hAnsi="Times New Roman" w:cs="Times New Roman"/>
        </w:rPr>
        <w:t xml:space="preserve">Although Cohort A’s 2022 performance aligned closely with the district, they trailed in all performance bands. In 2023, Cohort B surpassed the district at Meets (59% vs. 56%), and by 2024, Cohort C demonstrated even greater gains—outperforming the district by 7 points at Meets (57% vs. 50%) and 2 at Masters (27% vs. 25%). These results reflect the impact of tiered interventions that embedded reading comprehension and writing </w:t>
      </w:r>
      <w:proofErr w:type="gramStart"/>
      <w:r w:rsidRPr="003E064B">
        <w:rPr>
          <w:rFonts w:ascii="Times New Roman" w:hAnsi="Times New Roman" w:cs="Times New Roman"/>
        </w:rPr>
        <w:t>supports</w:t>
      </w:r>
      <w:proofErr w:type="gramEnd"/>
      <w:r w:rsidRPr="003E064B">
        <w:rPr>
          <w:rFonts w:ascii="Times New Roman" w:hAnsi="Times New Roman" w:cs="Times New Roman"/>
        </w:rPr>
        <w:t xml:space="preserve"> across content areas, accelerating growth for economically disadvantaged learners.</w:t>
      </w:r>
    </w:p>
    <w:p w14:paraId="203FA95B" w14:textId="77777777" w:rsidR="00B55D6E" w:rsidRDefault="00B55D6E" w:rsidP="003E064B">
      <w:pPr>
        <w:tabs>
          <w:tab w:val="left" w:pos="3590"/>
        </w:tabs>
        <w:rPr>
          <w:rFonts w:ascii="Times New Roman" w:hAnsi="Times New Roman" w:cs="Times New Roman"/>
        </w:rPr>
      </w:pPr>
    </w:p>
    <w:p w14:paraId="45540726" w14:textId="55A59829" w:rsidR="00B55D6E" w:rsidRPr="003E064B" w:rsidRDefault="00B55D6E" w:rsidP="003E064B">
      <w:pPr>
        <w:tabs>
          <w:tab w:val="left" w:pos="3590"/>
        </w:tabs>
        <w:rPr>
          <w:rFonts w:ascii="Times New Roman" w:hAnsi="Times New Roman" w:cs="Times New Roman"/>
        </w:rPr>
      </w:pPr>
      <w:r w:rsidRPr="00B55D6E">
        <w:rPr>
          <w:rFonts w:ascii="Times New Roman" w:hAnsi="Times New Roman" w:cs="Times New Roman"/>
        </w:rPr>
        <w:t xml:space="preserve">Across cohorts and subgroups, the data tells a consistent story: when instructional systems are vertically aligned, metacognitively structured, and adapted to real conditions, student outcomes rise—especially at higher levels of performance. While Cohort A outcomes aligned with district benchmarks, subsequent cohorts outperformed the district at Meets and </w:t>
      </w:r>
      <w:proofErr w:type="gramStart"/>
      <w:r w:rsidRPr="00B55D6E">
        <w:rPr>
          <w:rFonts w:ascii="Times New Roman" w:hAnsi="Times New Roman" w:cs="Times New Roman"/>
        </w:rPr>
        <w:t>Masters</w:t>
      </w:r>
      <w:proofErr w:type="gramEnd"/>
      <w:r w:rsidRPr="00B55D6E">
        <w:rPr>
          <w:rFonts w:ascii="Times New Roman" w:hAnsi="Times New Roman" w:cs="Times New Roman"/>
        </w:rPr>
        <w:t xml:space="preserve"> across economically disadvantaged, EL, SPED, and accelerated learner groups. These gains emerged not from isolated programs, but from cross-content scaffolds, academic discourse routines, and an intentional shift toward comprehension- and writing-driven instruction. Even under staffing instability and policy shifts, these systems held—delivering sustained growth and closing longstanding performance gaps for historically underserved learners.</w:t>
      </w:r>
    </w:p>
    <w:p w14:paraId="0735E18E" w14:textId="77777777" w:rsidR="003E064B" w:rsidRPr="005866BF" w:rsidRDefault="003E064B" w:rsidP="005A09EA">
      <w:pPr>
        <w:tabs>
          <w:tab w:val="left" w:pos="3590"/>
        </w:tabs>
        <w:rPr>
          <w:rFonts w:ascii="Times New Roman" w:hAnsi="Times New Roman" w:cs="Times New Roman"/>
        </w:rPr>
      </w:pPr>
    </w:p>
    <w:sectPr w:rsidR="003E064B" w:rsidRPr="005866B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B1383" w14:textId="77777777" w:rsidR="005E3711" w:rsidRDefault="005E3711" w:rsidP="002C5F4D">
      <w:pPr>
        <w:spacing w:after="0" w:line="240" w:lineRule="auto"/>
      </w:pPr>
      <w:r>
        <w:separator/>
      </w:r>
    </w:p>
  </w:endnote>
  <w:endnote w:type="continuationSeparator" w:id="0">
    <w:p w14:paraId="649BD00B" w14:textId="77777777" w:rsidR="005E3711" w:rsidRDefault="005E3711" w:rsidP="002C5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205866"/>
      <w:docPartObj>
        <w:docPartGallery w:val="Page Numbers (Bottom of Page)"/>
        <w:docPartUnique/>
      </w:docPartObj>
    </w:sdtPr>
    <w:sdtEndPr>
      <w:rPr>
        <w:noProof/>
      </w:rPr>
    </w:sdtEndPr>
    <w:sdtContent>
      <w:p w14:paraId="5F340C2C" w14:textId="296BF334" w:rsidR="002C5F4D" w:rsidRDefault="002C5F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847C4" w14:textId="77777777" w:rsidR="002C5F4D" w:rsidRDefault="002C5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9797F" w14:textId="77777777" w:rsidR="005E3711" w:rsidRDefault="005E3711" w:rsidP="002C5F4D">
      <w:pPr>
        <w:spacing w:after="0" w:line="240" w:lineRule="auto"/>
      </w:pPr>
      <w:r>
        <w:separator/>
      </w:r>
    </w:p>
  </w:footnote>
  <w:footnote w:type="continuationSeparator" w:id="0">
    <w:p w14:paraId="6C33B7B1" w14:textId="77777777" w:rsidR="005E3711" w:rsidRDefault="005E3711" w:rsidP="002C5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F408A"/>
    <w:multiLevelType w:val="multilevel"/>
    <w:tmpl w:val="60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2327"/>
    <w:multiLevelType w:val="multilevel"/>
    <w:tmpl w:val="6AFC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05A48"/>
    <w:multiLevelType w:val="multilevel"/>
    <w:tmpl w:val="A298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E7BEA"/>
    <w:multiLevelType w:val="multilevel"/>
    <w:tmpl w:val="3F10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A7AFF"/>
    <w:multiLevelType w:val="multilevel"/>
    <w:tmpl w:val="C74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4FAF"/>
    <w:multiLevelType w:val="multilevel"/>
    <w:tmpl w:val="58E0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E5AAF"/>
    <w:multiLevelType w:val="multilevel"/>
    <w:tmpl w:val="466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D7B1C"/>
    <w:multiLevelType w:val="multilevel"/>
    <w:tmpl w:val="4EB6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566562">
    <w:abstractNumId w:val="7"/>
  </w:num>
  <w:num w:numId="2" w16cid:durableId="1884755012">
    <w:abstractNumId w:val="5"/>
  </w:num>
  <w:num w:numId="3" w16cid:durableId="1920213339">
    <w:abstractNumId w:val="4"/>
  </w:num>
  <w:num w:numId="4" w16cid:durableId="929968657">
    <w:abstractNumId w:val="6"/>
  </w:num>
  <w:num w:numId="5" w16cid:durableId="724568141">
    <w:abstractNumId w:val="0"/>
  </w:num>
  <w:num w:numId="6" w16cid:durableId="149449609">
    <w:abstractNumId w:val="2"/>
  </w:num>
  <w:num w:numId="7" w16cid:durableId="1259752079">
    <w:abstractNumId w:val="3"/>
  </w:num>
  <w:num w:numId="8" w16cid:durableId="1789548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C6"/>
    <w:rsid w:val="0001380E"/>
    <w:rsid w:val="00027462"/>
    <w:rsid w:val="00034414"/>
    <w:rsid w:val="000419EE"/>
    <w:rsid w:val="0005063B"/>
    <w:rsid w:val="00070F69"/>
    <w:rsid w:val="00075E5D"/>
    <w:rsid w:val="00085AF0"/>
    <w:rsid w:val="000C1B3C"/>
    <w:rsid w:val="000C2614"/>
    <w:rsid w:val="00100577"/>
    <w:rsid w:val="001010FD"/>
    <w:rsid w:val="001270E5"/>
    <w:rsid w:val="001363B9"/>
    <w:rsid w:val="001423A8"/>
    <w:rsid w:val="00152A92"/>
    <w:rsid w:val="001543CE"/>
    <w:rsid w:val="00161F3B"/>
    <w:rsid w:val="001848FA"/>
    <w:rsid w:val="00184AEF"/>
    <w:rsid w:val="00194EB4"/>
    <w:rsid w:val="00195F82"/>
    <w:rsid w:val="001B66A1"/>
    <w:rsid w:val="001D18AD"/>
    <w:rsid w:val="001F2401"/>
    <w:rsid w:val="001F297E"/>
    <w:rsid w:val="001F3DD3"/>
    <w:rsid w:val="001F593B"/>
    <w:rsid w:val="002016B1"/>
    <w:rsid w:val="00217CD8"/>
    <w:rsid w:val="00217F8E"/>
    <w:rsid w:val="00245270"/>
    <w:rsid w:val="0024779A"/>
    <w:rsid w:val="0026010D"/>
    <w:rsid w:val="00292CBD"/>
    <w:rsid w:val="002C5F4D"/>
    <w:rsid w:val="002C7F34"/>
    <w:rsid w:val="002D0B23"/>
    <w:rsid w:val="002D1F94"/>
    <w:rsid w:val="002D79C0"/>
    <w:rsid w:val="002E14EC"/>
    <w:rsid w:val="00307A52"/>
    <w:rsid w:val="00320D1B"/>
    <w:rsid w:val="003548D8"/>
    <w:rsid w:val="00367ED9"/>
    <w:rsid w:val="00387052"/>
    <w:rsid w:val="00391595"/>
    <w:rsid w:val="00393E49"/>
    <w:rsid w:val="003A0186"/>
    <w:rsid w:val="003B7342"/>
    <w:rsid w:val="003C3C11"/>
    <w:rsid w:val="003C468D"/>
    <w:rsid w:val="003D22DC"/>
    <w:rsid w:val="003E064B"/>
    <w:rsid w:val="004153D4"/>
    <w:rsid w:val="00437BCE"/>
    <w:rsid w:val="004508BA"/>
    <w:rsid w:val="004563AB"/>
    <w:rsid w:val="00461A55"/>
    <w:rsid w:val="00472E5B"/>
    <w:rsid w:val="00475D30"/>
    <w:rsid w:val="004A18D7"/>
    <w:rsid w:val="004A562B"/>
    <w:rsid w:val="004D42D1"/>
    <w:rsid w:val="004E0D8B"/>
    <w:rsid w:val="004F5BB0"/>
    <w:rsid w:val="005055A5"/>
    <w:rsid w:val="00516C04"/>
    <w:rsid w:val="00531E5D"/>
    <w:rsid w:val="0056451E"/>
    <w:rsid w:val="005866BF"/>
    <w:rsid w:val="00590AC2"/>
    <w:rsid w:val="00596704"/>
    <w:rsid w:val="0059674A"/>
    <w:rsid w:val="005A09EA"/>
    <w:rsid w:val="005A45B6"/>
    <w:rsid w:val="005B0372"/>
    <w:rsid w:val="005B28AD"/>
    <w:rsid w:val="005D474C"/>
    <w:rsid w:val="005D4E8F"/>
    <w:rsid w:val="005D5F44"/>
    <w:rsid w:val="005E2C9C"/>
    <w:rsid w:val="005E3711"/>
    <w:rsid w:val="005F165C"/>
    <w:rsid w:val="005F2CD4"/>
    <w:rsid w:val="006137C8"/>
    <w:rsid w:val="00636CEA"/>
    <w:rsid w:val="00673433"/>
    <w:rsid w:val="00673E0F"/>
    <w:rsid w:val="00674F50"/>
    <w:rsid w:val="0068145C"/>
    <w:rsid w:val="00696C0B"/>
    <w:rsid w:val="006A0487"/>
    <w:rsid w:val="006A4BBF"/>
    <w:rsid w:val="006B28B8"/>
    <w:rsid w:val="006C028A"/>
    <w:rsid w:val="006C78B6"/>
    <w:rsid w:val="006E7E00"/>
    <w:rsid w:val="0070305D"/>
    <w:rsid w:val="0070783C"/>
    <w:rsid w:val="007170A6"/>
    <w:rsid w:val="00755A23"/>
    <w:rsid w:val="007769D8"/>
    <w:rsid w:val="00797AEF"/>
    <w:rsid w:val="007C1CC0"/>
    <w:rsid w:val="007C3B03"/>
    <w:rsid w:val="007D1CD5"/>
    <w:rsid w:val="007D4DA5"/>
    <w:rsid w:val="00802544"/>
    <w:rsid w:val="00812FB9"/>
    <w:rsid w:val="008177E4"/>
    <w:rsid w:val="00843889"/>
    <w:rsid w:val="0085352D"/>
    <w:rsid w:val="008553F1"/>
    <w:rsid w:val="00873C05"/>
    <w:rsid w:val="008A38B5"/>
    <w:rsid w:val="008A6692"/>
    <w:rsid w:val="008B6C54"/>
    <w:rsid w:val="008C1AC6"/>
    <w:rsid w:val="008C3E87"/>
    <w:rsid w:val="008C77AB"/>
    <w:rsid w:val="008D1FEB"/>
    <w:rsid w:val="008E524E"/>
    <w:rsid w:val="008F421B"/>
    <w:rsid w:val="008F5EFB"/>
    <w:rsid w:val="008F75FF"/>
    <w:rsid w:val="008F782E"/>
    <w:rsid w:val="00904D89"/>
    <w:rsid w:val="00913851"/>
    <w:rsid w:val="009371AC"/>
    <w:rsid w:val="00954D22"/>
    <w:rsid w:val="009723A9"/>
    <w:rsid w:val="00975F33"/>
    <w:rsid w:val="009877D3"/>
    <w:rsid w:val="009A5E4C"/>
    <w:rsid w:val="009B3BBA"/>
    <w:rsid w:val="009D1C5D"/>
    <w:rsid w:val="009F09C6"/>
    <w:rsid w:val="009F16B3"/>
    <w:rsid w:val="009F6364"/>
    <w:rsid w:val="00A3749E"/>
    <w:rsid w:val="00A4131B"/>
    <w:rsid w:val="00A565BF"/>
    <w:rsid w:val="00A9230B"/>
    <w:rsid w:val="00AA192B"/>
    <w:rsid w:val="00AB47F9"/>
    <w:rsid w:val="00AD7E60"/>
    <w:rsid w:val="00AE4591"/>
    <w:rsid w:val="00AF7F4F"/>
    <w:rsid w:val="00B15497"/>
    <w:rsid w:val="00B20D67"/>
    <w:rsid w:val="00B353FF"/>
    <w:rsid w:val="00B405FC"/>
    <w:rsid w:val="00B4238C"/>
    <w:rsid w:val="00B43403"/>
    <w:rsid w:val="00B52E66"/>
    <w:rsid w:val="00B55D6E"/>
    <w:rsid w:val="00B56002"/>
    <w:rsid w:val="00B57304"/>
    <w:rsid w:val="00B70DBE"/>
    <w:rsid w:val="00BB3DC0"/>
    <w:rsid w:val="00BC3152"/>
    <w:rsid w:val="00BD22B5"/>
    <w:rsid w:val="00BD2B1E"/>
    <w:rsid w:val="00BE2B20"/>
    <w:rsid w:val="00BE42F6"/>
    <w:rsid w:val="00C03CF4"/>
    <w:rsid w:val="00C055E9"/>
    <w:rsid w:val="00C12913"/>
    <w:rsid w:val="00C178B2"/>
    <w:rsid w:val="00C22050"/>
    <w:rsid w:val="00C22AE5"/>
    <w:rsid w:val="00C36191"/>
    <w:rsid w:val="00C40864"/>
    <w:rsid w:val="00C4429A"/>
    <w:rsid w:val="00C87B9D"/>
    <w:rsid w:val="00CA20AB"/>
    <w:rsid w:val="00CA4669"/>
    <w:rsid w:val="00CB2D20"/>
    <w:rsid w:val="00CC40A1"/>
    <w:rsid w:val="00CC5257"/>
    <w:rsid w:val="00CC5CE8"/>
    <w:rsid w:val="00CC6D3B"/>
    <w:rsid w:val="00CE1C2D"/>
    <w:rsid w:val="00CE26E0"/>
    <w:rsid w:val="00CF11D5"/>
    <w:rsid w:val="00D004FC"/>
    <w:rsid w:val="00D005C3"/>
    <w:rsid w:val="00D044BA"/>
    <w:rsid w:val="00D0772A"/>
    <w:rsid w:val="00D33B9F"/>
    <w:rsid w:val="00D56543"/>
    <w:rsid w:val="00D567E2"/>
    <w:rsid w:val="00D56964"/>
    <w:rsid w:val="00D606CC"/>
    <w:rsid w:val="00D714DF"/>
    <w:rsid w:val="00DA04A0"/>
    <w:rsid w:val="00DB4280"/>
    <w:rsid w:val="00DC02C2"/>
    <w:rsid w:val="00DE2725"/>
    <w:rsid w:val="00DE53A1"/>
    <w:rsid w:val="00DF3987"/>
    <w:rsid w:val="00E02674"/>
    <w:rsid w:val="00E11E1F"/>
    <w:rsid w:val="00E31E72"/>
    <w:rsid w:val="00E34CE8"/>
    <w:rsid w:val="00E3763E"/>
    <w:rsid w:val="00E608B7"/>
    <w:rsid w:val="00E65025"/>
    <w:rsid w:val="00E84480"/>
    <w:rsid w:val="00E85B70"/>
    <w:rsid w:val="00EB05E3"/>
    <w:rsid w:val="00EC5AE7"/>
    <w:rsid w:val="00ED67F5"/>
    <w:rsid w:val="00F01252"/>
    <w:rsid w:val="00F21167"/>
    <w:rsid w:val="00F22153"/>
    <w:rsid w:val="00F473F8"/>
    <w:rsid w:val="00F50842"/>
    <w:rsid w:val="00F523B7"/>
    <w:rsid w:val="00F56632"/>
    <w:rsid w:val="00F605B8"/>
    <w:rsid w:val="00F91054"/>
    <w:rsid w:val="00F934A1"/>
    <w:rsid w:val="00FC4EC2"/>
    <w:rsid w:val="00FD03A2"/>
    <w:rsid w:val="00FD5612"/>
    <w:rsid w:val="00FF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7CE5"/>
  <w15:chartTrackingRefBased/>
  <w15:docId w15:val="{61CDCC72-C9E3-439C-8F50-08AFC2C6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1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1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AC6"/>
    <w:rPr>
      <w:rFonts w:eastAsiaTheme="majorEastAsia" w:cstheme="majorBidi"/>
      <w:color w:val="272727" w:themeColor="text1" w:themeTint="D8"/>
    </w:rPr>
  </w:style>
  <w:style w:type="paragraph" w:styleId="Title">
    <w:name w:val="Title"/>
    <w:basedOn w:val="Normal"/>
    <w:next w:val="Normal"/>
    <w:link w:val="TitleChar"/>
    <w:uiPriority w:val="10"/>
    <w:qFormat/>
    <w:rsid w:val="008C1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AC6"/>
    <w:pPr>
      <w:spacing w:before="160"/>
      <w:jc w:val="center"/>
    </w:pPr>
    <w:rPr>
      <w:i/>
      <w:iCs/>
      <w:color w:val="404040" w:themeColor="text1" w:themeTint="BF"/>
    </w:rPr>
  </w:style>
  <w:style w:type="character" w:customStyle="1" w:styleId="QuoteChar">
    <w:name w:val="Quote Char"/>
    <w:basedOn w:val="DefaultParagraphFont"/>
    <w:link w:val="Quote"/>
    <w:uiPriority w:val="29"/>
    <w:rsid w:val="008C1AC6"/>
    <w:rPr>
      <w:i/>
      <w:iCs/>
      <w:color w:val="404040" w:themeColor="text1" w:themeTint="BF"/>
    </w:rPr>
  </w:style>
  <w:style w:type="paragraph" w:styleId="ListParagraph">
    <w:name w:val="List Paragraph"/>
    <w:basedOn w:val="Normal"/>
    <w:uiPriority w:val="34"/>
    <w:qFormat/>
    <w:rsid w:val="008C1AC6"/>
    <w:pPr>
      <w:ind w:left="720"/>
      <w:contextualSpacing/>
    </w:pPr>
  </w:style>
  <w:style w:type="character" w:styleId="IntenseEmphasis">
    <w:name w:val="Intense Emphasis"/>
    <w:basedOn w:val="DefaultParagraphFont"/>
    <w:uiPriority w:val="21"/>
    <w:qFormat/>
    <w:rsid w:val="008C1AC6"/>
    <w:rPr>
      <w:i/>
      <w:iCs/>
      <w:color w:val="0F4761" w:themeColor="accent1" w:themeShade="BF"/>
    </w:rPr>
  </w:style>
  <w:style w:type="paragraph" w:styleId="IntenseQuote">
    <w:name w:val="Intense Quote"/>
    <w:basedOn w:val="Normal"/>
    <w:next w:val="Normal"/>
    <w:link w:val="IntenseQuoteChar"/>
    <w:uiPriority w:val="30"/>
    <w:qFormat/>
    <w:rsid w:val="008C1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AC6"/>
    <w:rPr>
      <w:i/>
      <w:iCs/>
      <w:color w:val="0F4761" w:themeColor="accent1" w:themeShade="BF"/>
    </w:rPr>
  </w:style>
  <w:style w:type="character" w:styleId="IntenseReference">
    <w:name w:val="Intense Reference"/>
    <w:basedOn w:val="DefaultParagraphFont"/>
    <w:uiPriority w:val="32"/>
    <w:qFormat/>
    <w:rsid w:val="008C1AC6"/>
    <w:rPr>
      <w:b/>
      <w:bCs/>
      <w:smallCaps/>
      <w:color w:val="0F4761" w:themeColor="accent1" w:themeShade="BF"/>
      <w:spacing w:val="5"/>
    </w:rPr>
  </w:style>
  <w:style w:type="character" w:styleId="Strong">
    <w:name w:val="Strong"/>
    <w:basedOn w:val="DefaultParagraphFont"/>
    <w:uiPriority w:val="22"/>
    <w:qFormat/>
    <w:rsid w:val="008C1AC6"/>
    <w:rPr>
      <w:b/>
      <w:bCs/>
    </w:rPr>
  </w:style>
  <w:style w:type="paragraph" w:customStyle="1" w:styleId="whitespace-pre-wrap">
    <w:name w:val="whitespace-pre-wrap"/>
    <w:basedOn w:val="Normal"/>
    <w:rsid w:val="00AD7E6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C5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F4D"/>
  </w:style>
  <w:style w:type="paragraph" w:styleId="Footer">
    <w:name w:val="footer"/>
    <w:basedOn w:val="Normal"/>
    <w:link w:val="FooterChar"/>
    <w:uiPriority w:val="99"/>
    <w:unhideWhenUsed/>
    <w:rsid w:val="002C5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43562">
      <w:bodyDiv w:val="1"/>
      <w:marLeft w:val="0"/>
      <w:marRight w:val="0"/>
      <w:marTop w:val="0"/>
      <w:marBottom w:val="0"/>
      <w:divBdr>
        <w:top w:val="none" w:sz="0" w:space="0" w:color="auto"/>
        <w:left w:val="none" w:sz="0" w:space="0" w:color="auto"/>
        <w:bottom w:val="none" w:sz="0" w:space="0" w:color="auto"/>
        <w:right w:val="none" w:sz="0" w:space="0" w:color="auto"/>
      </w:divBdr>
    </w:div>
    <w:div w:id="278687755">
      <w:bodyDiv w:val="1"/>
      <w:marLeft w:val="0"/>
      <w:marRight w:val="0"/>
      <w:marTop w:val="0"/>
      <w:marBottom w:val="0"/>
      <w:divBdr>
        <w:top w:val="none" w:sz="0" w:space="0" w:color="auto"/>
        <w:left w:val="none" w:sz="0" w:space="0" w:color="auto"/>
        <w:bottom w:val="none" w:sz="0" w:space="0" w:color="auto"/>
        <w:right w:val="none" w:sz="0" w:space="0" w:color="auto"/>
      </w:divBdr>
    </w:div>
    <w:div w:id="367342705">
      <w:bodyDiv w:val="1"/>
      <w:marLeft w:val="0"/>
      <w:marRight w:val="0"/>
      <w:marTop w:val="0"/>
      <w:marBottom w:val="0"/>
      <w:divBdr>
        <w:top w:val="none" w:sz="0" w:space="0" w:color="auto"/>
        <w:left w:val="none" w:sz="0" w:space="0" w:color="auto"/>
        <w:bottom w:val="none" w:sz="0" w:space="0" w:color="auto"/>
        <w:right w:val="none" w:sz="0" w:space="0" w:color="auto"/>
      </w:divBdr>
    </w:div>
    <w:div w:id="410733550">
      <w:bodyDiv w:val="1"/>
      <w:marLeft w:val="0"/>
      <w:marRight w:val="0"/>
      <w:marTop w:val="0"/>
      <w:marBottom w:val="0"/>
      <w:divBdr>
        <w:top w:val="none" w:sz="0" w:space="0" w:color="auto"/>
        <w:left w:val="none" w:sz="0" w:space="0" w:color="auto"/>
        <w:bottom w:val="none" w:sz="0" w:space="0" w:color="auto"/>
        <w:right w:val="none" w:sz="0" w:space="0" w:color="auto"/>
      </w:divBdr>
    </w:div>
    <w:div w:id="419370077">
      <w:bodyDiv w:val="1"/>
      <w:marLeft w:val="0"/>
      <w:marRight w:val="0"/>
      <w:marTop w:val="0"/>
      <w:marBottom w:val="0"/>
      <w:divBdr>
        <w:top w:val="none" w:sz="0" w:space="0" w:color="auto"/>
        <w:left w:val="none" w:sz="0" w:space="0" w:color="auto"/>
        <w:bottom w:val="none" w:sz="0" w:space="0" w:color="auto"/>
        <w:right w:val="none" w:sz="0" w:space="0" w:color="auto"/>
      </w:divBdr>
    </w:div>
    <w:div w:id="540939665">
      <w:bodyDiv w:val="1"/>
      <w:marLeft w:val="0"/>
      <w:marRight w:val="0"/>
      <w:marTop w:val="0"/>
      <w:marBottom w:val="0"/>
      <w:divBdr>
        <w:top w:val="none" w:sz="0" w:space="0" w:color="auto"/>
        <w:left w:val="none" w:sz="0" w:space="0" w:color="auto"/>
        <w:bottom w:val="none" w:sz="0" w:space="0" w:color="auto"/>
        <w:right w:val="none" w:sz="0" w:space="0" w:color="auto"/>
      </w:divBdr>
    </w:div>
    <w:div w:id="700787472">
      <w:bodyDiv w:val="1"/>
      <w:marLeft w:val="0"/>
      <w:marRight w:val="0"/>
      <w:marTop w:val="0"/>
      <w:marBottom w:val="0"/>
      <w:divBdr>
        <w:top w:val="none" w:sz="0" w:space="0" w:color="auto"/>
        <w:left w:val="none" w:sz="0" w:space="0" w:color="auto"/>
        <w:bottom w:val="none" w:sz="0" w:space="0" w:color="auto"/>
        <w:right w:val="none" w:sz="0" w:space="0" w:color="auto"/>
      </w:divBdr>
    </w:div>
    <w:div w:id="733553980">
      <w:bodyDiv w:val="1"/>
      <w:marLeft w:val="0"/>
      <w:marRight w:val="0"/>
      <w:marTop w:val="0"/>
      <w:marBottom w:val="0"/>
      <w:divBdr>
        <w:top w:val="none" w:sz="0" w:space="0" w:color="auto"/>
        <w:left w:val="none" w:sz="0" w:space="0" w:color="auto"/>
        <w:bottom w:val="none" w:sz="0" w:space="0" w:color="auto"/>
        <w:right w:val="none" w:sz="0" w:space="0" w:color="auto"/>
      </w:divBdr>
    </w:div>
    <w:div w:id="838278911">
      <w:bodyDiv w:val="1"/>
      <w:marLeft w:val="0"/>
      <w:marRight w:val="0"/>
      <w:marTop w:val="0"/>
      <w:marBottom w:val="0"/>
      <w:divBdr>
        <w:top w:val="none" w:sz="0" w:space="0" w:color="auto"/>
        <w:left w:val="none" w:sz="0" w:space="0" w:color="auto"/>
        <w:bottom w:val="none" w:sz="0" w:space="0" w:color="auto"/>
        <w:right w:val="none" w:sz="0" w:space="0" w:color="auto"/>
      </w:divBdr>
    </w:div>
    <w:div w:id="925382299">
      <w:bodyDiv w:val="1"/>
      <w:marLeft w:val="0"/>
      <w:marRight w:val="0"/>
      <w:marTop w:val="0"/>
      <w:marBottom w:val="0"/>
      <w:divBdr>
        <w:top w:val="none" w:sz="0" w:space="0" w:color="auto"/>
        <w:left w:val="none" w:sz="0" w:space="0" w:color="auto"/>
        <w:bottom w:val="none" w:sz="0" w:space="0" w:color="auto"/>
        <w:right w:val="none" w:sz="0" w:space="0" w:color="auto"/>
      </w:divBdr>
    </w:div>
    <w:div w:id="952710086">
      <w:bodyDiv w:val="1"/>
      <w:marLeft w:val="0"/>
      <w:marRight w:val="0"/>
      <w:marTop w:val="0"/>
      <w:marBottom w:val="0"/>
      <w:divBdr>
        <w:top w:val="none" w:sz="0" w:space="0" w:color="auto"/>
        <w:left w:val="none" w:sz="0" w:space="0" w:color="auto"/>
        <w:bottom w:val="none" w:sz="0" w:space="0" w:color="auto"/>
        <w:right w:val="none" w:sz="0" w:space="0" w:color="auto"/>
      </w:divBdr>
    </w:div>
    <w:div w:id="979767491">
      <w:bodyDiv w:val="1"/>
      <w:marLeft w:val="0"/>
      <w:marRight w:val="0"/>
      <w:marTop w:val="0"/>
      <w:marBottom w:val="0"/>
      <w:divBdr>
        <w:top w:val="none" w:sz="0" w:space="0" w:color="auto"/>
        <w:left w:val="none" w:sz="0" w:space="0" w:color="auto"/>
        <w:bottom w:val="none" w:sz="0" w:space="0" w:color="auto"/>
        <w:right w:val="none" w:sz="0" w:space="0" w:color="auto"/>
      </w:divBdr>
    </w:div>
    <w:div w:id="989138297">
      <w:bodyDiv w:val="1"/>
      <w:marLeft w:val="0"/>
      <w:marRight w:val="0"/>
      <w:marTop w:val="0"/>
      <w:marBottom w:val="0"/>
      <w:divBdr>
        <w:top w:val="none" w:sz="0" w:space="0" w:color="auto"/>
        <w:left w:val="none" w:sz="0" w:space="0" w:color="auto"/>
        <w:bottom w:val="none" w:sz="0" w:space="0" w:color="auto"/>
        <w:right w:val="none" w:sz="0" w:space="0" w:color="auto"/>
      </w:divBdr>
    </w:div>
    <w:div w:id="1248541270">
      <w:bodyDiv w:val="1"/>
      <w:marLeft w:val="0"/>
      <w:marRight w:val="0"/>
      <w:marTop w:val="0"/>
      <w:marBottom w:val="0"/>
      <w:divBdr>
        <w:top w:val="none" w:sz="0" w:space="0" w:color="auto"/>
        <w:left w:val="none" w:sz="0" w:space="0" w:color="auto"/>
        <w:bottom w:val="none" w:sz="0" w:space="0" w:color="auto"/>
        <w:right w:val="none" w:sz="0" w:space="0" w:color="auto"/>
      </w:divBdr>
    </w:div>
    <w:div w:id="1300300094">
      <w:bodyDiv w:val="1"/>
      <w:marLeft w:val="0"/>
      <w:marRight w:val="0"/>
      <w:marTop w:val="0"/>
      <w:marBottom w:val="0"/>
      <w:divBdr>
        <w:top w:val="none" w:sz="0" w:space="0" w:color="auto"/>
        <w:left w:val="none" w:sz="0" w:space="0" w:color="auto"/>
        <w:bottom w:val="none" w:sz="0" w:space="0" w:color="auto"/>
        <w:right w:val="none" w:sz="0" w:space="0" w:color="auto"/>
      </w:divBdr>
    </w:div>
    <w:div w:id="1303539153">
      <w:bodyDiv w:val="1"/>
      <w:marLeft w:val="0"/>
      <w:marRight w:val="0"/>
      <w:marTop w:val="0"/>
      <w:marBottom w:val="0"/>
      <w:divBdr>
        <w:top w:val="none" w:sz="0" w:space="0" w:color="auto"/>
        <w:left w:val="none" w:sz="0" w:space="0" w:color="auto"/>
        <w:bottom w:val="none" w:sz="0" w:space="0" w:color="auto"/>
        <w:right w:val="none" w:sz="0" w:space="0" w:color="auto"/>
      </w:divBdr>
    </w:div>
    <w:div w:id="1349482223">
      <w:bodyDiv w:val="1"/>
      <w:marLeft w:val="0"/>
      <w:marRight w:val="0"/>
      <w:marTop w:val="0"/>
      <w:marBottom w:val="0"/>
      <w:divBdr>
        <w:top w:val="none" w:sz="0" w:space="0" w:color="auto"/>
        <w:left w:val="none" w:sz="0" w:space="0" w:color="auto"/>
        <w:bottom w:val="none" w:sz="0" w:space="0" w:color="auto"/>
        <w:right w:val="none" w:sz="0" w:space="0" w:color="auto"/>
      </w:divBdr>
    </w:div>
    <w:div w:id="1702122489">
      <w:bodyDiv w:val="1"/>
      <w:marLeft w:val="0"/>
      <w:marRight w:val="0"/>
      <w:marTop w:val="0"/>
      <w:marBottom w:val="0"/>
      <w:divBdr>
        <w:top w:val="none" w:sz="0" w:space="0" w:color="auto"/>
        <w:left w:val="none" w:sz="0" w:space="0" w:color="auto"/>
        <w:bottom w:val="none" w:sz="0" w:space="0" w:color="auto"/>
        <w:right w:val="none" w:sz="0" w:space="0" w:color="auto"/>
      </w:divBdr>
    </w:div>
    <w:div w:id="1720132463">
      <w:bodyDiv w:val="1"/>
      <w:marLeft w:val="0"/>
      <w:marRight w:val="0"/>
      <w:marTop w:val="0"/>
      <w:marBottom w:val="0"/>
      <w:divBdr>
        <w:top w:val="none" w:sz="0" w:space="0" w:color="auto"/>
        <w:left w:val="none" w:sz="0" w:space="0" w:color="auto"/>
        <w:bottom w:val="none" w:sz="0" w:space="0" w:color="auto"/>
        <w:right w:val="none" w:sz="0" w:space="0" w:color="auto"/>
      </w:divBdr>
    </w:div>
    <w:div w:id="1731926800">
      <w:bodyDiv w:val="1"/>
      <w:marLeft w:val="0"/>
      <w:marRight w:val="0"/>
      <w:marTop w:val="0"/>
      <w:marBottom w:val="0"/>
      <w:divBdr>
        <w:top w:val="none" w:sz="0" w:space="0" w:color="auto"/>
        <w:left w:val="none" w:sz="0" w:space="0" w:color="auto"/>
        <w:bottom w:val="none" w:sz="0" w:space="0" w:color="auto"/>
        <w:right w:val="none" w:sz="0" w:space="0" w:color="auto"/>
      </w:divBdr>
    </w:div>
    <w:div w:id="1783572148">
      <w:bodyDiv w:val="1"/>
      <w:marLeft w:val="0"/>
      <w:marRight w:val="0"/>
      <w:marTop w:val="0"/>
      <w:marBottom w:val="0"/>
      <w:divBdr>
        <w:top w:val="none" w:sz="0" w:space="0" w:color="auto"/>
        <w:left w:val="none" w:sz="0" w:space="0" w:color="auto"/>
        <w:bottom w:val="none" w:sz="0" w:space="0" w:color="auto"/>
        <w:right w:val="none" w:sz="0" w:space="0" w:color="auto"/>
      </w:divBdr>
    </w:div>
    <w:div w:id="1788116129">
      <w:bodyDiv w:val="1"/>
      <w:marLeft w:val="0"/>
      <w:marRight w:val="0"/>
      <w:marTop w:val="0"/>
      <w:marBottom w:val="0"/>
      <w:divBdr>
        <w:top w:val="none" w:sz="0" w:space="0" w:color="auto"/>
        <w:left w:val="none" w:sz="0" w:space="0" w:color="auto"/>
        <w:bottom w:val="none" w:sz="0" w:space="0" w:color="auto"/>
        <w:right w:val="none" w:sz="0" w:space="0" w:color="auto"/>
      </w:divBdr>
    </w:div>
    <w:div w:id="1900939811">
      <w:bodyDiv w:val="1"/>
      <w:marLeft w:val="0"/>
      <w:marRight w:val="0"/>
      <w:marTop w:val="0"/>
      <w:marBottom w:val="0"/>
      <w:divBdr>
        <w:top w:val="none" w:sz="0" w:space="0" w:color="auto"/>
        <w:left w:val="none" w:sz="0" w:space="0" w:color="auto"/>
        <w:bottom w:val="none" w:sz="0" w:space="0" w:color="auto"/>
        <w:right w:val="none" w:sz="0" w:space="0" w:color="auto"/>
      </w:divBdr>
    </w:div>
    <w:div w:id="1913851656">
      <w:bodyDiv w:val="1"/>
      <w:marLeft w:val="0"/>
      <w:marRight w:val="0"/>
      <w:marTop w:val="0"/>
      <w:marBottom w:val="0"/>
      <w:divBdr>
        <w:top w:val="none" w:sz="0" w:space="0" w:color="auto"/>
        <w:left w:val="none" w:sz="0" w:space="0" w:color="auto"/>
        <w:bottom w:val="none" w:sz="0" w:space="0" w:color="auto"/>
        <w:right w:val="none" w:sz="0" w:space="0" w:color="auto"/>
      </w:divBdr>
    </w:div>
    <w:div w:id="1948582551">
      <w:bodyDiv w:val="1"/>
      <w:marLeft w:val="0"/>
      <w:marRight w:val="0"/>
      <w:marTop w:val="0"/>
      <w:marBottom w:val="0"/>
      <w:divBdr>
        <w:top w:val="none" w:sz="0" w:space="0" w:color="auto"/>
        <w:left w:val="none" w:sz="0" w:space="0" w:color="auto"/>
        <w:bottom w:val="none" w:sz="0" w:space="0" w:color="auto"/>
        <w:right w:val="none" w:sz="0" w:space="0" w:color="auto"/>
      </w:divBdr>
    </w:div>
    <w:div w:id="199210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9D8AA-E828-4808-A863-D61151CFE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6</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Marlitha Williams</dc:creator>
  <cp:keywords/>
  <dc:description/>
  <cp:lastModifiedBy>Marlitha Williams</cp:lastModifiedBy>
  <cp:revision>215</cp:revision>
  <dcterms:created xsi:type="dcterms:W3CDTF">2025-04-29T05:50:00Z</dcterms:created>
  <dcterms:modified xsi:type="dcterms:W3CDTF">2025-05-01T14:33:00Z</dcterms:modified>
</cp:coreProperties>
</file>