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0EE68" w14:textId="55974DCE" w:rsidR="00862531" w:rsidRPr="00FF45BC" w:rsidRDefault="00862531" w:rsidP="00862531">
      <w:pPr>
        <w:rPr>
          <w:b/>
          <w:bCs/>
        </w:rPr>
      </w:pPr>
      <w:r w:rsidRPr="00FF45BC">
        <w:rPr>
          <w:b/>
          <w:bCs/>
        </w:rPr>
        <w:t>Instructional Impact and Cohort Performance Analysis</w:t>
      </w:r>
      <w:r w:rsidR="00F44FAF">
        <w:rPr>
          <w:b/>
          <w:bCs/>
        </w:rPr>
        <w:t>: Cohort C</w:t>
      </w:r>
    </w:p>
    <w:p w14:paraId="0FA6E7B9" w14:textId="77777777" w:rsidR="00862531" w:rsidRPr="00FF45BC" w:rsidRDefault="00862531" w:rsidP="00862531">
      <w:r>
        <w:pict w14:anchorId="14EBC91C">
          <v:rect id="_x0000_i1025" style="width:0;height:1.5pt" o:hralign="center" o:hrstd="t" o:hr="t" fillcolor="#a0a0a0" stroked="f"/>
        </w:pict>
      </w:r>
    </w:p>
    <w:p w14:paraId="111452D1" w14:textId="77777777" w:rsidR="00862531" w:rsidRPr="00FF45BC" w:rsidRDefault="00862531" w:rsidP="00862531">
      <w:pPr>
        <w:rPr>
          <w:b/>
          <w:bCs/>
        </w:rPr>
      </w:pPr>
      <w:r w:rsidRPr="00FF45BC">
        <w:rPr>
          <w:b/>
          <w:bCs/>
        </w:rPr>
        <w:t>Section 1: Introduction — Problem of Practice and Intervention</w:t>
      </w:r>
    </w:p>
    <w:p w14:paraId="53B9CEA7" w14:textId="54FC88FD" w:rsidR="00862531" w:rsidRPr="00FF45BC" w:rsidRDefault="00862531" w:rsidP="00862531">
      <w:r w:rsidRPr="00FF45BC">
        <w:t>In 202</w:t>
      </w:r>
      <w:r w:rsidR="00F44FAF">
        <w:t>3</w:t>
      </w:r>
      <w:r w:rsidRPr="00FF45BC">
        <w:t>, our campus identified a critical problem of practice through STAAR data analysis and teacher observations:</w:t>
      </w:r>
    </w:p>
    <w:p w14:paraId="1A39B563" w14:textId="0E19662D" w:rsidR="00862531" w:rsidRPr="00FF45BC" w:rsidRDefault="00F44FAF" w:rsidP="00862531">
      <w:pPr>
        <w:numPr>
          <w:ilvl w:val="0"/>
          <w:numId w:val="1"/>
        </w:numPr>
      </w:pPr>
      <w:r>
        <w:t>Rising 5th</w:t>
      </w:r>
      <w:r w:rsidR="00862531">
        <w:t xml:space="preserve"> grade s</w:t>
      </w:r>
      <w:r w:rsidR="00862531" w:rsidRPr="00FF45BC">
        <w:t xml:space="preserve">tudents demonstrated notable weaknesses in </w:t>
      </w:r>
      <w:r w:rsidR="00862531" w:rsidRPr="004B1B05">
        <w:rPr>
          <w:b/>
          <w:bCs/>
        </w:rPr>
        <w:t>nonfiction comprehension</w:t>
      </w:r>
      <w:r w:rsidR="00862531" w:rsidRPr="00FF45BC">
        <w:t>, especially in analyzing author’s purpose, organizational structures, and synthesizing information.</w:t>
      </w:r>
    </w:p>
    <w:p w14:paraId="32F04CD7" w14:textId="77777777" w:rsidR="00862531" w:rsidRPr="00FF45BC" w:rsidRDefault="00862531" w:rsidP="00862531">
      <w:pPr>
        <w:numPr>
          <w:ilvl w:val="0"/>
          <w:numId w:val="1"/>
        </w:numPr>
      </w:pPr>
      <w:r w:rsidRPr="00FF45BC">
        <w:t xml:space="preserve">Writing performance, particularly in structured academic writing (informational and argumentative), </w:t>
      </w:r>
      <w:proofErr w:type="gramStart"/>
      <w:r w:rsidRPr="00FF45BC">
        <w:t>lagged behind</w:t>
      </w:r>
      <w:proofErr w:type="gramEnd"/>
      <w:r w:rsidRPr="00FF45BC">
        <w:t xml:space="preserve"> expectations, with strengths mainly in narrative storytelling.</w:t>
      </w:r>
    </w:p>
    <w:p w14:paraId="47C09E96" w14:textId="77777777" w:rsidR="00862531" w:rsidRPr="00FF45BC" w:rsidRDefault="00862531" w:rsidP="00862531">
      <w:pPr>
        <w:numPr>
          <w:ilvl w:val="0"/>
          <w:numId w:val="1"/>
        </w:numPr>
      </w:pPr>
      <w:r w:rsidRPr="00FF45BC">
        <w:t>Additionally, explicit instruction in grammar and conventions had been deprioritized over past years, creating foundational gaps.</w:t>
      </w:r>
    </w:p>
    <w:p w14:paraId="4390A919" w14:textId="77777777" w:rsidR="00862531" w:rsidRPr="00FF45BC" w:rsidRDefault="00862531" w:rsidP="00862531">
      <w:r w:rsidRPr="00FF45BC">
        <w:t>In response, we implemented a targeted instructional shift grounded in the Science of Reading, emerging Science of Writing, and new models emphasizing explicit language structures. Our model centered on:</w:t>
      </w:r>
    </w:p>
    <w:p w14:paraId="1FB3FE4C" w14:textId="210136CF" w:rsidR="00862531" w:rsidRPr="00FF45BC" w:rsidRDefault="00862531" w:rsidP="00862531">
      <w:pPr>
        <w:numPr>
          <w:ilvl w:val="0"/>
          <w:numId w:val="2"/>
        </w:numPr>
      </w:pPr>
      <w:r w:rsidRPr="00FF45BC">
        <w:rPr>
          <w:b/>
          <w:bCs/>
        </w:rPr>
        <w:t xml:space="preserve">Author’s purpose </w:t>
      </w:r>
      <w:proofErr w:type="gramStart"/>
      <w:r w:rsidRPr="00862531">
        <w:t>as</w:t>
      </w:r>
      <w:proofErr w:type="gramEnd"/>
      <w:r w:rsidRPr="00862531">
        <w:t xml:space="preserve"> cognitive anchors for </w:t>
      </w:r>
      <w:r>
        <w:t xml:space="preserve">all </w:t>
      </w:r>
      <w:r w:rsidRPr="00862531">
        <w:t>reading and writing</w:t>
      </w:r>
      <w:r>
        <w:t xml:space="preserve"> tasks</w:t>
      </w:r>
      <w:r w:rsidRPr="00862531">
        <w:t>.</w:t>
      </w:r>
    </w:p>
    <w:p w14:paraId="572F77C2" w14:textId="77777777" w:rsidR="00862531" w:rsidRPr="00FF45BC" w:rsidRDefault="00862531" w:rsidP="00862531">
      <w:pPr>
        <w:numPr>
          <w:ilvl w:val="0"/>
          <w:numId w:val="2"/>
        </w:numPr>
      </w:pPr>
      <w:r w:rsidRPr="00FF45BC">
        <w:rPr>
          <w:b/>
          <w:bCs/>
        </w:rPr>
        <w:t>Screen to Scratch</w:t>
      </w:r>
      <w:r w:rsidRPr="00FF45BC">
        <w:t>, a</w:t>
      </w:r>
      <w:r>
        <w:t xml:space="preserve">n annotation </w:t>
      </w:r>
      <w:r w:rsidRPr="00FF45BC">
        <w:t xml:space="preserve">system bridging digital reading </w:t>
      </w:r>
      <w:r>
        <w:t>analysis</w:t>
      </w:r>
      <w:r w:rsidRPr="00FF45BC">
        <w:t xml:space="preserve"> with structured written.</w:t>
      </w:r>
    </w:p>
    <w:p w14:paraId="531238A0" w14:textId="72382541" w:rsidR="00862531" w:rsidRPr="00FF45BC" w:rsidRDefault="00862531" w:rsidP="00862531">
      <w:pPr>
        <w:numPr>
          <w:ilvl w:val="0"/>
          <w:numId w:val="2"/>
        </w:numPr>
      </w:pPr>
      <w:r w:rsidRPr="00FF45BC">
        <w:rPr>
          <w:b/>
          <w:bCs/>
        </w:rPr>
        <w:t>AI</w:t>
      </w:r>
      <w:r>
        <w:rPr>
          <w:b/>
          <w:bCs/>
        </w:rPr>
        <w:t xml:space="preserve"> Data-Informed Planning</w:t>
      </w:r>
      <w:r>
        <w:rPr>
          <w:b/>
          <w:bCs/>
        </w:rPr>
        <w:t xml:space="preserve"> </w:t>
      </w:r>
      <w:r w:rsidRPr="00FF45BC">
        <w:t xml:space="preserve">to </w:t>
      </w:r>
      <w:r>
        <w:t>provided targeted literacy instruction while faced with</w:t>
      </w:r>
      <w:r w:rsidRPr="00FF45BC">
        <w:t xml:space="preserve"> staffing shortages.</w:t>
      </w:r>
    </w:p>
    <w:p w14:paraId="7D132238" w14:textId="77777777" w:rsidR="00862531" w:rsidRPr="00FF45BC" w:rsidRDefault="00862531" w:rsidP="00862531">
      <w:r>
        <w:pict w14:anchorId="348EE75A">
          <v:rect id="_x0000_i1026" style="width:0;height:1.5pt" o:hralign="center" o:hrstd="t" o:hr="t" fillcolor="#a0a0a0" stroked="f"/>
        </w:pict>
      </w:r>
    </w:p>
    <w:p w14:paraId="6214C537" w14:textId="77777777" w:rsidR="00862531" w:rsidRPr="00FF45BC" w:rsidRDefault="00862531" w:rsidP="00862531">
      <w:pPr>
        <w:rPr>
          <w:b/>
          <w:bCs/>
        </w:rPr>
      </w:pPr>
      <w:r w:rsidRPr="00FF45BC">
        <w:rPr>
          <w:b/>
          <w:bCs/>
        </w:rPr>
        <w:t>Section 2: Cohort Overview — Corrected Data Table</w:t>
      </w:r>
    </w:p>
    <w:tbl>
      <w:tblPr>
        <w:tblW w:w="604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844"/>
        <w:gridCol w:w="675"/>
        <w:gridCol w:w="1592"/>
        <w:gridCol w:w="858"/>
        <w:gridCol w:w="1109"/>
      </w:tblGrid>
      <w:tr w:rsidR="00D675DC" w:rsidRPr="00FF45BC" w14:paraId="16E4210D" w14:textId="77777777" w:rsidTr="00D675DC">
        <w:trPr>
          <w:trHeight w:val="4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EA705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Cohort</w:t>
            </w:r>
          </w:p>
        </w:tc>
        <w:tc>
          <w:tcPr>
            <w:tcW w:w="0" w:type="auto"/>
            <w:vAlign w:val="center"/>
            <w:hideMark/>
          </w:tcPr>
          <w:p w14:paraId="65BA5510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385E3662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15912D7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Approaches</w:t>
            </w:r>
          </w:p>
        </w:tc>
        <w:tc>
          <w:tcPr>
            <w:tcW w:w="0" w:type="auto"/>
            <w:vAlign w:val="center"/>
            <w:hideMark/>
          </w:tcPr>
          <w:p w14:paraId="21346F4A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Meets</w:t>
            </w:r>
          </w:p>
        </w:tc>
        <w:tc>
          <w:tcPr>
            <w:tcW w:w="0" w:type="auto"/>
            <w:vAlign w:val="center"/>
            <w:hideMark/>
          </w:tcPr>
          <w:p w14:paraId="739E31A9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Masters</w:t>
            </w:r>
          </w:p>
        </w:tc>
      </w:tr>
      <w:tr w:rsidR="00D675DC" w:rsidRPr="00FF45BC" w14:paraId="2BABBE86" w14:textId="77777777" w:rsidTr="00D675DC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48D49E8D" w14:textId="12B2709D" w:rsidR="00D675DC" w:rsidRPr="00FF45BC" w:rsidRDefault="00D675DC" w:rsidP="00D675DC">
            <w:r w:rsidRPr="00FF45BC">
              <w:t>B</w:t>
            </w:r>
            <w:r>
              <w:t>*</w:t>
            </w:r>
          </w:p>
        </w:tc>
        <w:tc>
          <w:tcPr>
            <w:tcW w:w="0" w:type="auto"/>
            <w:vAlign w:val="center"/>
            <w:hideMark/>
          </w:tcPr>
          <w:p w14:paraId="1FD37538" w14:textId="6F194594" w:rsidR="00D675DC" w:rsidRPr="00FF45BC" w:rsidRDefault="00D675DC" w:rsidP="00D675DC">
            <w:r>
              <w:t>4th</w:t>
            </w:r>
          </w:p>
        </w:tc>
        <w:tc>
          <w:tcPr>
            <w:tcW w:w="0" w:type="auto"/>
            <w:vAlign w:val="center"/>
            <w:hideMark/>
          </w:tcPr>
          <w:p w14:paraId="0E44B1B3" w14:textId="7BF6B85D" w:rsidR="00D675DC" w:rsidRPr="00FF45BC" w:rsidRDefault="00D675DC" w:rsidP="00D675DC">
            <w:r w:rsidRPr="00FF45BC">
              <w:t>202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7C61D705" w14:textId="6A71343B" w:rsidR="00D675DC" w:rsidRPr="00FF45BC" w:rsidRDefault="00D675DC" w:rsidP="00D675DC">
            <w:r>
              <w:rPr>
                <w:b/>
                <w:bCs/>
              </w:rPr>
              <w:t>79</w:t>
            </w:r>
            <w:r w:rsidRPr="00FF45BC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</w:tcPr>
          <w:p w14:paraId="5082E775" w14:textId="1D78C51C" w:rsidR="00D675DC" w:rsidRPr="00FF45BC" w:rsidRDefault="00D675DC" w:rsidP="00D675DC">
            <w:r w:rsidRPr="00FF45BC">
              <w:rPr>
                <w:b/>
                <w:bCs/>
              </w:rPr>
              <w:t>6</w:t>
            </w:r>
            <w:r>
              <w:rPr>
                <w:b/>
                <w:bCs/>
              </w:rPr>
              <w:t>6</w:t>
            </w:r>
            <w:r w:rsidRPr="00FF45BC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</w:tcPr>
          <w:p w14:paraId="48F64B18" w14:textId="3F787734" w:rsidR="00D675DC" w:rsidRPr="00FF45BC" w:rsidRDefault="00D675DC" w:rsidP="00D675DC">
            <w:r w:rsidRPr="00FF45BC">
              <w:rPr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  <w:r w:rsidRPr="00FF45BC">
              <w:rPr>
                <w:b/>
                <w:bCs/>
              </w:rPr>
              <w:t>%</w:t>
            </w:r>
          </w:p>
        </w:tc>
      </w:tr>
      <w:tr w:rsidR="00862531" w:rsidRPr="00FF45BC" w14:paraId="22E15F9C" w14:textId="77777777" w:rsidTr="00D675DC">
        <w:trPr>
          <w:trHeight w:val="464"/>
          <w:tblCellSpacing w:w="15" w:type="dxa"/>
        </w:trPr>
        <w:tc>
          <w:tcPr>
            <w:tcW w:w="0" w:type="auto"/>
            <w:vAlign w:val="center"/>
          </w:tcPr>
          <w:p w14:paraId="43D73F1C" w14:textId="5A914936" w:rsidR="00862531" w:rsidRPr="00FF45BC" w:rsidRDefault="00862531" w:rsidP="00862531">
            <w:r w:rsidRPr="00FF45BC">
              <w:t>B</w:t>
            </w:r>
          </w:p>
        </w:tc>
        <w:tc>
          <w:tcPr>
            <w:tcW w:w="0" w:type="auto"/>
            <w:vAlign w:val="center"/>
          </w:tcPr>
          <w:p w14:paraId="339D00C5" w14:textId="17A641CC" w:rsidR="00862531" w:rsidRPr="00FF45BC" w:rsidRDefault="00862531" w:rsidP="00862531">
            <w:r w:rsidRPr="00FF45BC">
              <w:t>5th</w:t>
            </w:r>
          </w:p>
        </w:tc>
        <w:tc>
          <w:tcPr>
            <w:tcW w:w="0" w:type="auto"/>
            <w:vAlign w:val="center"/>
          </w:tcPr>
          <w:p w14:paraId="2933591D" w14:textId="6036F89D" w:rsidR="00862531" w:rsidRPr="00FF45BC" w:rsidRDefault="00862531" w:rsidP="00862531">
            <w:r w:rsidRPr="00FF45BC">
              <w:t>2023</w:t>
            </w:r>
          </w:p>
        </w:tc>
        <w:tc>
          <w:tcPr>
            <w:tcW w:w="0" w:type="auto"/>
            <w:vAlign w:val="center"/>
          </w:tcPr>
          <w:p w14:paraId="31EE7551" w14:textId="0B81D937" w:rsidR="00862531" w:rsidRPr="00FF45BC" w:rsidRDefault="00862531" w:rsidP="00862531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81%</w:t>
            </w:r>
            <w:r w:rsidR="00D675DC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4177EB7" w14:textId="06FCCE82" w:rsidR="00862531" w:rsidRPr="00FF45BC" w:rsidRDefault="00862531" w:rsidP="00862531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63%</w:t>
            </w:r>
          </w:p>
        </w:tc>
        <w:tc>
          <w:tcPr>
            <w:tcW w:w="0" w:type="auto"/>
            <w:vAlign w:val="center"/>
          </w:tcPr>
          <w:p w14:paraId="3465079A" w14:textId="2B8AF425" w:rsidR="00862531" w:rsidRPr="00FF45BC" w:rsidRDefault="00862531" w:rsidP="00862531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31%</w:t>
            </w:r>
          </w:p>
        </w:tc>
      </w:tr>
      <w:tr w:rsidR="00D675DC" w:rsidRPr="00FF45BC" w14:paraId="602A6992" w14:textId="77777777" w:rsidTr="00D675DC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76B8D63F" w14:textId="77777777" w:rsidR="00862531" w:rsidRPr="00FF45BC" w:rsidRDefault="00862531" w:rsidP="00862531">
            <w:r w:rsidRPr="00FF45BC">
              <w:t>C</w:t>
            </w:r>
          </w:p>
        </w:tc>
        <w:tc>
          <w:tcPr>
            <w:tcW w:w="0" w:type="auto"/>
            <w:vAlign w:val="center"/>
            <w:hideMark/>
          </w:tcPr>
          <w:p w14:paraId="2C00183D" w14:textId="77777777" w:rsidR="00862531" w:rsidRPr="00FF45BC" w:rsidRDefault="00862531" w:rsidP="00862531">
            <w:r w:rsidRPr="00FF45BC">
              <w:t>4th</w:t>
            </w:r>
          </w:p>
        </w:tc>
        <w:tc>
          <w:tcPr>
            <w:tcW w:w="0" w:type="auto"/>
            <w:vAlign w:val="center"/>
            <w:hideMark/>
          </w:tcPr>
          <w:p w14:paraId="1AAE9EA0" w14:textId="77777777" w:rsidR="00862531" w:rsidRPr="00FF45BC" w:rsidRDefault="00862531" w:rsidP="00862531">
            <w:r w:rsidRPr="00FF45BC">
              <w:t>2023</w:t>
            </w:r>
          </w:p>
        </w:tc>
        <w:tc>
          <w:tcPr>
            <w:tcW w:w="0" w:type="auto"/>
            <w:vAlign w:val="center"/>
            <w:hideMark/>
          </w:tcPr>
          <w:p w14:paraId="38081806" w14:textId="77777777" w:rsidR="00862531" w:rsidRPr="00FF45BC" w:rsidRDefault="00862531" w:rsidP="00862531">
            <w:r w:rsidRPr="00FF45BC">
              <w:rPr>
                <w:b/>
                <w:bCs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298E64FD" w14:textId="77777777" w:rsidR="00862531" w:rsidRPr="00FF45BC" w:rsidRDefault="00862531" w:rsidP="00862531">
            <w:r w:rsidRPr="00FF45BC">
              <w:rPr>
                <w:b/>
                <w:bCs/>
              </w:rPr>
              <w:t>39%</w:t>
            </w:r>
          </w:p>
        </w:tc>
        <w:tc>
          <w:tcPr>
            <w:tcW w:w="0" w:type="auto"/>
            <w:vAlign w:val="center"/>
            <w:hideMark/>
          </w:tcPr>
          <w:p w14:paraId="56C50A56" w14:textId="77777777" w:rsidR="00862531" w:rsidRPr="00FF45BC" w:rsidRDefault="00862531" w:rsidP="00862531">
            <w:r w:rsidRPr="00FF45BC">
              <w:rPr>
                <w:b/>
                <w:bCs/>
              </w:rPr>
              <w:t>19%</w:t>
            </w:r>
          </w:p>
        </w:tc>
      </w:tr>
      <w:tr w:rsidR="00D675DC" w:rsidRPr="00FF45BC" w14:paraId="331A7041" w14:textId="77777777" w:rsidTr="00D675DC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5620E832" w14:textId="77777777" w:rsidR="00862531" w:rsidRPr="00FF45BC" w:rsidRDefault="00862531" w:rsidP="00862531">
            <w:r w:rsidRPr="00FF45BC">
              <w:t>C</w:t>
            </w:r>
          </w:p>
        </w:tc>
        <w:tc>
          <w:tcPr>
            <w:tcW w:w="0" w:type="auto"/>
            <w:vAlign w:val="center"/>
            <w:hideMark/>
          </w:tcPr>
          <w:p w14:paraId="47789E0E" w14:textId="77777777" w:rsidR="00862531" w:rsidRPr="00FF45BC" w:rsidRDefault="00862531" w:rsidP="00862531">
            <w:r w:rsidRPr="00FF45BC">
              <w:t>5th</w:t>
            </w:r>
          </w:p>
        </w:tc>
        <w:tc>
          <w:tcPr>
            <w:tcW w:w="0" w:type="auto"/>
            <w:vAlign w:val="center"/>
            <w:hideMark/>
          </w:tcPr>
          <w:p w14:paraId="79545B65" w14:textId="77777777" w:rsidR="00862531" w:rsidRPr="00FF45BC" w:rsidRDefault="00862531" w:rsidP="00862531">
            <w:r w:rsidRPr="00FF45BC">
              <w:t>2024</w:t>
            </w:r>
          </w:p>
        </w:tc>
        <w:tc>
          <w:tcPr>
            <w:tcW w:w="0" w:type="auto"/>
            <w:vAlign w:val="center"/>
            <w:hideMark/>
          </w:tcPr>
          <w:p w14:paraId="34432981" w14:textId="77777777" w:rsidR="00862531" w:rsidRPr="00FF45BC" w:rsidRDefault="00862531" w:rsidP="00862531">
            <w:r w:rsidRPr="00FF45BC">
              <w:rPr>
                <w:b/>
                <w:bCs/>
              </w:rPr>
              <w:t>77%</w:t>
            </w:r>
          </w:p>
        </w:tc>
        <w:tc>
          <w:tcPr>
            <w:tcW w:w="0" w:type="auto"/>
            <w:vAlign w:val="center"/>
            <w:hideMark/>
          </w:tcPr>
          <w:p w14:paraId="0F9BFE6D" w14:textId="77777777" w:rsidR="00862531" w:rsidRPr="00FF45BC" w:rsidRDefault="00862531" w:rsidP="00862531">
            <w:r w:rsidRPr="00FF45BC">
              <w:rPr>
                <w:b/>
                <w:bCs/>
              </w:rPr>
              <w:t>59%</w:t>
            </w:r>
          </w:p>
        </w:tc>
        <w:tc>
          <w:tcPr>
            <w:tcW w:w="0" w:type="auto"/>
            <w:vAlign w:val="center"/>
            <w:hideMark/>
          </w:tcPr>
          <w:p w14:paraId="6E7C56CA" w14:textId="77777777" w:rsidR="00862531" w:rsidRPr="00FF45BC" w:rsidRDefault="00862531" w:rsidP="00862531">
            <w:r w:rsidRPr="00FF45BC">
              <w:rPr>
                <w:b/>
                <w:bCs/>
              </w:rPr>
              <w:t>31%</w:t>
            </w:r>
          </w:p>
        </w:tc>
      </w:tr>
    </w:tbl>
    <w:p w14:paraId="06EC6AD4" w14:textId="77777777" w:rsidR="00D675DC" w:rsidRPr="00D675DC" w:rsidRDefault="00D675DC" w:rsidP="00D675DC">
      <w:pPr>
        <w:ind w:left="720"/>
      </w:pPr>
    </w:p>
    <w:p w14:paraId="1851449C" w14:textId="3BE63AB9" w:rsidR="00862531" w:rsidRPr="00FF45BC" w:rsidRDefault="00862531" w:rsidP="00862531">
      <w:pPr>
        <w:numPr>
          <w:ilvl w:val="0"/>
          <w:numId w:val="3"/>
        </w:numPr>
      </w:pPr>
      <w:r w:rsidRPr="00FF45BC">
        <w:rPr>
          <w:b/>
          <w:bCs/>
        </w:rPr>
        <w:t>Cohort C</w:t>
      </w:r>
      <w:r w:rsidRPr="00FF45BC">
        <w:t xml:space="preserve"> demonstrated significant gains from 4th to 5th grade:</w:t>
      </w:r>
    </w:p>
    <w:p w14:paraId="00C1C3BB" w14:textId="77777777" w:rsidR="00862531" w:rsidRPr="00FF45BC" w:rsidRDefault="00862531" w:rsidP="00862531">
      <w:pPr>
        <w:numPr>
          <w:ilvl w:val="1"/>
          <w:numId w:val="3"/>
        </w:numPr>
      </w:pPr>
      <w:r w:rsidRPr="00FF45BC">
        <w:t>+7 points in Approaches</w:t>
      </w:r>
    </w:p>
    <w:p w14:paraId="247E931C" w14:textId="77777777" w:rsidR="00862531" w:rsidRPr="00FF45BC" w:rsidRDefault="00862531" w:rsidP="00862531">
      <w:pPr>
        <w:numPr>
          <w:ilvl w:val="1"/>
          <w:numId w:val="3"/>
        </w:numPr>
      </w:pPr>
      <w:r w:rsidRPr="00FF45BC">
        <w:t>+20 points in Meets</w:t>
      </w:r>
    </w:p>
    <w:p w14:paraId="26DE592A" w14:textId="77777777" w:rsidR="00862531" w:rsidRPr="00FF45BC" w:rsidRDefault="00862531" w:rsidP="00862531">
      <w:pPr>
        <w:numPr>
          <w:ilvl w:val="1"/>
          <w:numId w:val="3"/>
        </w:numPr>
      </w:pPr>
      <w:r w:rsidRPr="00FF45BC">
        <w:t>+12 points in Masters</w:t>
      </w:r>
    </w:p>
    <w:p w14:paraId="3B0F63E2" w14:textId="77777777" w:rsidR="00862531" w:rsidRDefault="00862531" w:rsidP="00862531">
      <w:pPr>
        <w:numPr>
          <w:ilvl w:val="0"/>
          <w:numId w:val="3"/>
        </w:numPr>
      </w:pPr>
      <w:r w:rsidRPr="00FF45BC">
        <w:t>By 5th grade, Cohort C matched Cohort B’s Masters performance at 31%, despite extreme staffing instability.</w:t>
      </w:r>
    </w:p>
    <w:p w14:paraId="563EAC44" w14:textId="6814352F" w:rsidR="00D675DC" w:rsidRPr="00D675DC" w:rsidRDefault="00D675DC" w:rsidP="00D675DC">
      <w:pPr>
        <w:ind w:left="360"/>
        <w:rPr>
          <w:sz w:val="20"/>
          <w:szCs w:val="20"/>
        </w:rPr>
      </w:pPr>
      <w:r w:rsidRPr="00D675DC">
        <w:rPr>
          <w:sz w:val="20"/>
          <w:szCs w:val="20"/>
        </w:rPr>
        <w:t>*Outcomes before 2023 STAAR Redesign, including writing and varied questioning options.</w:t>
      </w:r>
    </w:p>
    <w:p w14:paraId="58779919" w14:textId="77777777" w:rsidR="00862531" w:rsidRPr="00FF45BC" w:rsidRDefault="00862531" w:rsidP="00862531">
      <w:r>
        <w:pict w14:anchorId="694E39AA">
          <v:rect id="_x0000_i1027" style="width:0;height:1.5pt" o:hralign="center" o:hrstd="t" o:hr="t" fillcolor="#a0a0a0" stroked="f"/>
        </w:pict>
      </w:r>
    </w:p>
    <w:p w14:paraId="7F393AE1" w14:textId="77777777" w:rsidR="00862531" w:rsidRPr="00FF45BC" w:rsidRDefault="00862531" w:rsidP="00862531">
      <w:pPr>
        <w:rPr>
          <w:b/>
          <w:bCs/>
        </w:rPr>
      </w:pPr>
      <w:r w:rsidRPr="00FF45BC">
        <w:rPr>
          <w:b/>
          <w:bCs/>
        </w:rPr>
        <w:t>Section 3: Reading Comprehension Outcomes</w:t>
      </w:r>
    </w:p>
    <w:p w14:paraId="5194D208" w14:textId="77777777" w:rsidR="00862531" w:rsidRPr="00FF45BC" w:rsidRDefault="00862531" w:rsidP="00862531">
      <w:r w:rsidRPr="00FF45BC">
        <w:t>Students showed notable improvement in targeted comprehension areas:</w:t>
      </w:r>
    </w:p>
    <w:p w14:paraId="554A6654" w14:textId="77777777" w:rsidR="00862531" w:rsidRPr="00FF45BC" w:rsidRDefault="00862531" w:rsidP="00862531">
      <w:pPr>
        <w:numPr>
          <w:ilvl w:val="0"/>
          <w:numId w:val="4"/>
        </w:numPr>
      </w:pPr>
      <w:r w:rsidRPr="00FF45BC">
        <w:rPr>
          <w:b/>
          <w:bCs/>
        </w:rPr>
        <w:t>Author’s Purpose (TEKS 10.A):</w:t>
      </w:r>
      <w:r w:rsidRPr="00FF45BC">
        <w:t xml:space="preserve"> Campus performance exceeded state averages by +8–10 points.</w:t>
      </w:r>
    </w:p>
    <w:p w14:paraId="22449429" w14:textId="77777777" w:rsidR="00862531" w:rsidRPr="00FF45BC" w:rsidRDefault="00862531" w:rsidP="00862531">
      <w:pPr>
        <w:numPr>
          <w:ilvl w:val="0"/>
          <w:numId w:val="4"/>
        </w:numPr>
      </w:pPr>
      <w:r w:rsidRPr="00FF45BC">
        <w:rPr>
          <w:b/>
          <w:bCs/>
        </w:rPr>
        <w:t>Text Structure (TEKS 10.B):</w:t>
      </w:r>
      <w:r w:rsidRPr="00FF45BC">
        <w:t xml:space="preserve"> Full-credit rates rose above region and state benchmarks.</w:t>
      </w:r>
    </w:p>
    <w:p w14:paraId="3BF4B519" w14:textId="77777777" w:rsidR="00862531" w:rsidRPr="00FF45BC" w:rsidRDefault="00862531" w:rsidP="00862531">
      <w:r w:rsidRPr="00FF45BC">
        <w:t>According to Fisher &amp; Frey, teaching students to analyze author’s purpose builds both comprehension and critical thinking, and our results mirror this. Duke and Roberts emphasize that purposeful reading structures improve retention, matching observed gains.</w:t>
      </w:r>
    </w:p>
    <w:p w14:paraId="35D44F82" w14:textId="77777777" w:rsidR="00862531" w:rsidRPr="00FF45BC" w:rsidRDefault="00862531" w:rsidP="00862531">
      <w:r w:rsidRPr="00FF45BC">
        <w:rPr>
          <w:b/>
          <w:bCs/>
        </w:rPr>
        <w:t>Higher-Order Thinking:</w:t>
      </w:r>
    </w:p>
    <w:p w14:paraId="2CFAF662" w14:textId="77777777" w:rsidR="00862531" w:rsidRPr="00FF45BC" w:rsidRDefault="00862531" w:rsidP="00862531">
      <w:pPr>
        <w:numPr>
          <w:ilvl w:val="0"/>
          <w:numId w:val="5"/>
        </w:numPr>
      </w:pPr>
      <w:r w:rsidRPr="00FF45BC">
        <w:t>Students outperformed the state on several analysis/synthesis items.</w:t>
      </w:r>
    </w:p>
    <w:p w14:paraId="32CAE45F" w14:textId="77777777" w:rsidR="00862531" w:rsidRPr="00FF45BC" w:rsidRDefault="00862531" w:rsidP="00862531">
      <w:pPr>
        <w:numPr>
          <w:ilvl w:val="0"/>
          <w:numId w:val="5"/>
        </w:numPr>
      </w:pPr>
      <w:r w:rsidRPr="00FF45BC">
        <w:t>Gains in metacognitive inference aligned with structured annotation practices and strategic modeling.</w:t>
      </w:r>
    </w:p>
    <w:p w14:paraId="2CA7D107" w14:textId="77777777" w:rsidR="00862531" w:rsidRPr="00FF45BC" w:rsidRDefault="00862531" w:rsidP="00862531">
      <w:r>
        <w:pict w14:anchorId="79072404">
          <v:rect id="_x0000_i1028" style="width:0;height:1.5pt" o:hralign="center" o:hrstd="t" o:hr="t" fillcolor="#a0a0a0" stroked="f"/>
        </w:pict>
      </w:r>
    </w:p>
    <w:p w14:paraId="3D0ABC14" w14:textId="77777777" w:rsidR="00862531" w:rsidRPr="00FF45BC" w:rsidRDefault="00862531" w:rsidP="00862531">
      <w:pPr>
        <w:rPr>
          <w:b/>
          <w:bCs/>
        </w:rPr>
      </w:pPr>
      <w:r w:rsidRPr="00FF45BC">
        <w:rPr>
          <w:b/>
          <w:bCs/>
        </w:rPr>
        <w:t>Section 4: Writing Outcomes — Sentence Construction and Essay Analysis</w:t>
      </w:r>
    </w:p>
    <w:p w14:paraId="5FDE307E" w14:textId="77777777" w:rsidR="00862531" w:rsidRPr="00FF45BC" w:rsidRDefault="00862531" w:rsidP="00862531">
      <w:pPr>
        <w:rPr>
          <w:b/>
          <w:bCs/>
        </w:rPr>
      </w:pPr>
      <w:r w:rsidRPr="00FF45BC">
        <w:rPr>
          <w:b/>
          <w:bCs/>
        </w:rPr>
        <w:t>Constructed Response (Essay) Score Distribution (2024)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244"/>
      </w:tblGrid>
      <w:tr w:rsidR="00862531" w:rsidRPr="00FF45BC" w14:paraId="1111ABF3" w14:textId="77777777" w:rsidTr="00800B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73AD2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4C987D74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Campus %</w:t>
            </w:r>
          </w:p>
        </w:tc>
      </w:tr>
      <w:tr w:rsidR="00862531" w:rsidRPr="00FF45BC" w14:paraId="6603AF82" w14:textId="77777777" w:rsidTr="00800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E56D3" w14:textId="77777777" w:rsidR="00862531" w:rsidRPr="00FF45BC" w:rsidRDefault="00862531" w:rsidP="00800B12">
            <w:r w:rsidRPr="00FF45BC">
              <w:t>0–2 (Low)</w:t>
            </w:r>
          </w:p>
        </w:tc>
        <w:tc>
          <w:tcPr>
            <w:tcW w:w="0" w:type="auto"/>
            <w:vAlign w:val="center"/>
            <w:hideMark/>
          </w:tcPr>
          <w:p w14:paraId="5155DCC7" w14:textId="77777777" w:rsidR="00862531" w:rsidRPr="00FF45BC" w:rsidRDefault="00862531" w:rsidP="00800B12">
            <w:r w:rsidRPr="00FF45BC">
              <w:t>5–10%</w:t>
            </w:r>
          </w:p>
        </w:tc>
      </w:tr>
      <w:tr w:rsidR="00862531" w:rsidRPr="00FF45BC" w14:paraId="24218388" w14:textId="77777777" w:rsidTr="00800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F9AD" w14:textId="77777777" w:rsidR="00862531" w:rsidRPr="00FF45BC" w:rsidRDefault="00862531" w:rsidP="00800B12">
            <w:r w:rsidRPr="00FF45BC">
              <w:t>6–8 (Middle)</w:t>
            </w:r>
          </w:p>
        </w:tc>
        <w:tc>
          <w:tcPr>
            <w:tcW w:w="0" w:type="auto"/>
            <w:vAlign w:val="center"/>
            <w:hideMark/>
          </w:tcPr>
          <w:p w14:paraId="27272775" w14:textId="77777777" w:rsidR="00862531" w:rsidRPr="00FF45BC" w:rsidRDefault="00862531" w:rsidP="00800B12">
            <w:r w:rsidRPr="00FF45BC">
              <w:t>50–60%</w:t>
            </w:r>
          </w:p>
        </w:tc>
      </w:tr>
      <w:tr w:rsidR="00862531" w:rsidRPr="00FF45BC" w14:paraId="30BCB3C2" w14:textId="77777777" w:rsidTr="00800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FAB95" w14:textId="77777777" w:rsidR="00862531" w:rsidRPr="00FF45BC" w:rsidRDefault="00862531" w:rsidP="00800B12">
            <w:r w:rsidRPr="00FF45BC">
              <w:t>9–10 (High)</w:t>
            </w:r>
          </w:p>
        </w:tc>
        <w:tc>
          <w:tcPr>
            <w:tcW w:w="0" w:type="auto"/>
            <w:vAlign w:val="center"/>
            <w:hideMark/>
          </w:tcPr>
          <w:p w14:paraId="38264F4B" w14:textId="77777777" w:rsidR="00862531" w:rsidRPr="00FF45BC" w:rsidRDefault="00862531" w:rsidP="00800B12">
            <w:r w:rsidRPr="00FF45BC">
              <w:t>5–7%</w:t>
            </w:r>
          </w:p>
        </w:tc>
      </w:tr>
    </w:tbl>
    <w:p w14:paraId="5248E634" w14:textId="77777777" w:rsidR="00862531" w:rsidRPr="00FF45BC" w:rsidRDefault="00862531" w:rsidP="00862531">
      <w:r w:rsidRPr="00FF45BC">
        <w:rPr>
          <w:b/>
          <w:bCs/>
        </w:rPr>
        <w:t>Interpretation</w:t>
      </w:r>
      <w:r>
        <w:rPr>
          <w:b/>
          <w:bCs/>
        </w:rPr>
        <w:t xml:space="preserve"> Writing Conventions and Grammar</w:t>
      </w:r>
      <w:r w:rsidRPr="00FF45BC">
        <w:rPr>
          <w:b/>
          <w:bCs/>
        </w:rPr>
        <w:t>:</w:t>
      </w:r>
    </w:p>
    <w:p w14:paraId="51B432BB" w14:textId="77777777" w:rsidR="00862531" w:rsidRPr="00FF45BC" w:rsidRDefault="00862531" w:rsidP="00862531">
      <w:pPr>
        <w:numPr>
          <w:ilvl w:val="0"/>
          <w:numId w:val="6"/>
        </w:numPr>
      </w:pPr>
      <w:r>
        <w:rPr>
          <w:b/>
          <w:bCs/>
        </w:rPr>
        <w:t>Campus did not see overall gains in writing</w:t>
      </w:r>
      <w:r w:rsidRPr="00FF45BC">
        <w:t xml:space="preserve"> </w:t>
      </w:r>
    </w:p>
    <w:p w14:paraId="090B019C" w14:textId="77777777" w:rsidR="00862531" w:rsidRDefault="00862531" w:rsidP="00862531">
      <w:pPr>
        <w:numPr>
          <w:ilvl w:val="0"/>
          <w:numId w:val="6"/>
        </w:numPr>
      </w:pPr>
      <w:r w:rsidRPr="00FF45BC">
        <w:t xml:space="preserve">Very low </w:t>
      </w:r>
      <w:r>
        <w:t>mastery demonstrated</w:t>
      </w:r>
    </w:p>
    <w:p w14:paraId="064970B4" w14:textId="77777777" w:rsidR="00862531" w:rsidRPr="00FF45BC" w:rsidRDefault="00862531" w:rsidP="00862531">
      <w:pPr>
        <w:numPr>
          <w:ilvl w:val="0"/>
          <w:numId w:val="6"/>
        </w:numPr>
      </w:pPr>
      <w:r>
        <w:t>Trends from the previous year remained</w:t>
      </w:r>
    </w:p>
    <w:p w14:paraId="4A755141" w14:textId="77777777" w:rsidR="00862531" w:rsidRPr="00FF45BC" w:rsidRDefault="00862531" w:rsidP="00862531">
      <w:pPr>
        <w:numPr>
          <w:ilvl w:val="0"/>
          <w:numId w:val="7"/>
        </w:numPr>
      </w:pPr>
      <w:r w:rsidRPr="00FF45BC">
        <w:t>Students performed moderately on editing standards (e.g., TEKS 11.D).</w:t>
      </w:r>
    </w:p>
    <w:p w14:paraId="11BAF65E" w14:textId="77777777" w:rsidR="00862531" w:rsidRPr="00FF45BC" w:rsidRDefault="00862531" w:rsidP="00862531">
      <w:pPr>
        <w:numPr>
          <w:ilvl w:val="0"/>
          <w:numId w:val="7"/>
        </w:numPr>
      </w:pPr>
      <w:r w:rsidRPr="00FF45BC">
        <w:t>Stronger performance on basic punctuation items, especially Question 38 (punctuation editing, 64% campus vs 54% state).</w:t>
      </w:r>
    </w:p>
    <w:p w14:paraId="4C8A4020" w14:textId="77777777" w:rsidR="00862531" w:rsidRPr="00FF45BC" w:rsidRDefault="00862531" w:rsidP="00862531">
      <w:pPr>
        <w:numPr>
          <w:ilvl w:val="0"/>
          <w:numId w:val="7"/>
        </w:numPr>
      </w:pPr>
      <w:r w:rsidRPr="00FF45BC">
        <w:t xml:space="preserve">Consistent with Graham &amp; Perin’s </w:t>
      </w:r>
      <w:proofErr w:type="gramStart"/>
      <w:r w:rsidRPr="00FF45BC">
        <w:t>findings that</w:t>
      </w:r>
      <w:proofErr w:type="gramEnd"/>
      <w:r w:rsidRPr="00FF45BC">
        <w:t xml:space="preserve"> sentence combining and direct grammar instruction </w:t>
      </w:r>
      <w:proofErr w:type="gramStart"/>
      <w:r w:rsidRPr="00FF45BC">
        <w:t>raise</w:t>
      </w:r>
      <w:proofErr w:type="gramEnd"/>
      <w:r w:rsidRPr="00FF45BC">
        <w:t xml:space="preserve"> writing quality.</w:t>
      </w:r>
    </w:p>
    <w:p w14:paraId="6ECAEC81" w14:textId="77777777" w:rsidR="00862531" w:rsidRPr="00FF45BC" w:rsidRDefault="00862531" w:rsidP="00862531">
      <w:r w:rsidRPr="00FF45BC">
        <w:rPr>
          <w:b/>
          <w:bCs/>
        </w:rPr>
        <w:t>AI’s Role:</w:t>
      </w:r>
    </w:p>
    <w:p w14:paraId="79E00BBE" w14:textId="77777777" w:rsidR="00862531" w:rsidRPr="00FF45BC" w:rsidRDefault="00862531" w:rsidP="00862531">
      <w:pPr>
        <w:numPr>
          <w:ilvl w:val="0"/>
          <w:numId w:val="8"/>
        </w:numPr>
      </w:pPr>
      <w:r w:rsidRPr="00FF45BC">
        <w:t>AI-supported exercises likely strengthened student awareness of grammatical structure.</w:t>
      </w:r>
    </w:p>
    <w:p w14:paraId="232F7408" w14:textId="77777777" w:rsidR="00862531" w:rsidRPr="00FF45BC" w:rsidRDefault="00862531" w:rsidP="00862531">
      <w:pPr>
        <w:numPr>
          <w:ilvl w:val="0"/>
          <w:numId w:val="8"/>
        </w:numPr>
      </w:pPr>
      <w:r w:rsidRPr="00FF45BC">
        <w:t xml:space="preserve">Research by McKnight and Roscoe </w:t>
      </w:r>
      <w:proofErr w:type="gramStart"/>
      <w:r w:rsidRPr="00FF45BC">
        <w:t>shows</w:t>
      </w:r>
      <w:proofErr w:type="gramEnd"/>
      <w:r w:rsidRPr="00FF45BC">
        <w:t xml:space="preserve"> AI feedback improves mechanics, confirming the value of our approach.</w:t>
      </w:r>
    </w:p>
    <w:p w14:paraId="6E83220F" w14:textId="77777777" w:rsidR="00862531" w:rsidRPr="00FF45BC" w:rsidRDefault="00862531" w:rsidP="00862531">
      <w:r>
        <w:pict w14:anchorId="21FDB7EC">
          <v:rect id="_x0000_i1029" style="width:0;height:1.5pt" o:hralign="center" o:hrstd="t" o:hr="t" fillcolor="#a0a0a0" stroked="f"/>
        </w:pict>
      </w:r>
    </w:p>
    <w:p w14:paraId="37BE7A68" w14:textId="77777777" w:rsidR="00862531" w:rsidRPr="00FF45BC" w:rsidRDefault="00862531" w:rsidP="00862531">
      <w:pPr>
        <w:rPr>
          <w:b/>
          <w:bCs/>
        </w:rPr>
      </w:pPr>
      <w:r w:rsidRPr="00FF45BC">
        <w:rPr>
          <w:b/>
          <w:bCs/>
        </w:rPr>
        <w:t xml:space="preserve">Section 5: Subgroup </w:t>
      </w:r>
      <w:r>
        <w:rPr>
          <w:b/>
          <w:bCs/>
        </w:rPr>
        <w:t xml:space="preserve">Reading </w:t>
      </w:r>
      <w:r w:rsidRPr="00FF45BC">
        <w:rPr>
          <w:b/>
          <w:bCs/>
        </w:rPr>
        <w:t>Growth Outcomes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2844"/>
        <w:gridCol w:w="1910"/>
        <w:gridCol w:w="857"/>
      </w:tblGrid>
      <w:tr w:rsidR="00862531" w:rsidRPr="00FF45BC" w14:paraId="66D78B5C" w14:textId="77777777" w:rsidTr="00862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AC36C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Subgroup</w:t>
            </w:r>
          </w:p>
        </w:tc>
        <w:tc>
          <w:tcPr>
            <w:tcW w:w="0" w:type="auto"/>
            <w:vAlign w:val="center"/>
            <w:hideMark/>
          </w:tcPr>
          <w:p w14:paraId="17D7BF55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 xml:space="preserve">2023 </w:t>
            </w:r>
            <w:r>
              <w:rPr>
                <w:b/>
                <w:bCs/>
              </w:rPr>
              <w:t xml:space="preserve">Reading </w:t>
            </w:r>
            <w:r w:rsidRPr="00FF45BC">
              <w:rPr>
                <w:b/>
                <w:bCs/>
              </w:rPr>
              <w:t>Growth Met</w:t>
            </w:r>
          </w:p>
        </w:tc>
        <w:tc>
          <w:tcPr>
            <w:tcW w:w="0" w:type="auto"/>
            <w:vAlign w:val="center"/>
            <w:hideMark/>
          </w:tcPr>
          <w:p w14:paraId="4AD3E317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2024 Growth Met</w:t>
            </w:r>
          </w:p>
        </w:tc>
        <w:tc>
          <w:tcPr>
            <w:tcW w:w="0" w:type="auto"/>
            <w:vAlign w:val="center"/>
            <w:hideMark/>
          </w:tcPr>
          <w:p w14:paraId="3DBBC093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Gain</w:t>
            </w:r>
          </w:p>
        </w:tc>
      </w:tr>
      <w:tr w:rsidR="00862531" w:rsidRPr="00FF45BC" w14:paraId="1D2BF39E" w14:textId="77777777" w:rsidTr="0086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3EF5" w14:textId="77777777" w:rsidR="00862531" w:rsidRPr="00FF45BC" w:rsidRDefault="00862531" w:rsidP="00800B12">
            <w:r w:rsidRPr="00FF45BC">
              <w:t>Eco Dis</w:t>
            </w:r>
          </w:p>
        </w:tc>
        <w:tc>
          <w:tcPr>
            <w:tcW w:w="0" w:type="auto"/>
            <w:vAlign w:val="center"/>
            <w:hideMark/>
          </w:tcPr>
          <w:p w14:paraId="021E247C" w14:textId="77777777" w:rsidR="00862531" w:rsidRPr="00FF45BC" w:rsidRDefault="00862531" w:rsidP="00800B12">
            <w:r w:rsidRPr="00FF45BC">
              <w:t>49%</w:t>
            </w:r>
          </w:p>
        </w:tc>
        <w:tc>
          <w:tcPr>
            <w:tcW w:w="0" w:type="auto"/>
            <w:vAlign w:val="center"/>
            <w:hideMark/>
          </w:tcPr>
          <w:p w14:paraId="596A56AD" w14:textId="77777777" w:rsidR="00862531" w:rsidRPr="00FF45BC" w:rsidRDefault="00862531" w:rsidP="00800B12">
            <w:r w:rsidRPr="00FF45BC">
              <w:t>80%</w:t>
            </w:r>
          </w:p>
        </w:tc>
        <w:tc>
          <w:tcPr>
            <w:tcW w:w="0" w:type="auto"/>
            <w:vAlign w:val="center"/>
            <w:hideMark/>
          </w:tcPr>
          <w:p w14:paraId="5F8C1C71" w14:textId="77777777" w:rsidR="00862531" w:rsidRPr="00FF45BC" w:rsidRDefault="00862531" w:rsidP="00800B12">
            <w:r w:rsidRPr="00FF45BC">
              <w:t>+31 pts</w:t>
            </w:r>
          </w:p>
        </w:tc>
      </w:tr>
      <w:tr w:rsidR="00862531" w:rsidRPr="00FF45BC" w14:paraId="2F12AAAD" w14:textId="77777777" w:rsidTr="0086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C2B3" w14:textId="77777777" w:rsidR="00862531" w:rsidRPr="00FF45BC" w:rsidRDefault="00862531" w:rsidP="00800B12">
            <w:r w:rsidRPr="00FF45BC">
              <w:t>EL</w:t>
            </w:r>
          </w:p>
        </w:tc>
        <w:tc>
          <w:tcPr>
            <w:tcW w:w="0" w:type="auto"/>
            <w:vAlign w:val="center"/>
            <w:hideMark/>
          </w:tcPr>
          <w:p w14:paraId="08931FC0" w14:textId="77777777" w:rsidR="00862531" w:rsidRPr="00FF45BC" w:rsidRDefault="00862531" w:rsidP="00800B12">
            <w:r w:rsidRPr="00FF45BC">
              <w:t>37%</w:t>
            </w:r>
          </w:p>
        </w:tc>
        <w:tc>
          <w:tcPr>
            <w:tcW w:w="0" w:type="auto"/>
            <w:vAlign w:val="center"/>
            <w:hideMark/>
          </w:tcPr>
          <w:p w14:paraId="0F35D09C" w14:textId="77777777" w:rsidR="00862531" w:rsidRPr="00FF45BC" w:rsidRDefault="00862531" w:rsidP="00800B12">
            <w:r w:rsidRPr="00FF45BC">
              <w:t>69%</w:t>
            </w:r>
          </w:p>
        </w:tc>
        <w:tc>
          <w:tcPr>
            <w:tcW w:w="0" w:type="auto"/>
            <w:vAlign w:val="center"/>
            <w:hideMark/>
          </w:tcPr>
          <w:p w14:paraId="1E90AB91" w14:textId="77777777" w:rsidR="00862531" w:rsidRPr="00FF45BC" w:rsidRDefault="00862531" w:rsidP="00800B12">
            <w:r w:rsidRPr="00FF45BC">
              <w:t>+32 pts</w:t>
            </w:r>
          </w:p>
        </w:tc>
      </w:tr>
      <w:tr w:rsidR="00862531" w:rsidRPr="00FF45BC" w14:paraId="445CA94A" w14:textId="77777777" w:rsidTr="00862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A6FE2" w14:textId="77777777" w:rsidR="00862531" w:rsidRPr="00FF45BC" w:rsidRDefault="00862531" w:rsidP="00800B12">
            <w:r w:rsidRPr="00FF45BC">
              <w:t>SPED</w:t>
            </w:r>
          </w:p>
        </w:tc>
        <w:tc>
          <w:tcPr>
            <w:tcW w:w="0" w:type="auto"/>
            <w:vAlign w:val="center"/>
            <w:hideMark/>
          </w:tcPr>
          <w:p w14:paraId="4913246A" w14:textId="77777777" w:rsidR="00862531" w:rsidRPr="00FF45BC" w:rsidRDefault="00862531" w:rsidP="00800B12">
            <w:r w:rsidRPr="00FF45BC">
              <w:t>35%</w:t>
            </w:r>
          </w:p>
        </w:tc>
        <w:tc>
          <w:tcPr>
            <w:tcW w:w="0" w:type="auto"/>
            <w:vAlign w:val="center"/>
            <w:hideMark/>
          </w:tcPr>
          <w:p w14:paraId="7E68E553" w14:textId="77777777" w:rsidR="00862531" w:rsidRPr="00FF45BC" w:rsidRDefault="00862531" w:rsidP="00800B12">
            <w:r w:rsidRPr="00FF45BC">
              <w:t>77%</w:t>
            </w:r>
          </w:p>
        </w:tc>
        <w:tc>
          <w:tcPr>
            <w:tcW w:w="0" w:type="auto"/>
            <w:vAlign w:val="center"/>
            <w:hideMark/>
          </w:tcPr>
          <w:p w14:paraId="193293CC" w14:textId="77777777" w:rsidR="00862531" w:rsidRPr="00FF45BC" w:rsidRDefault="00862531" w:rsidP="00800B12">
            <w:r w:rsidRPr="00FF45BC">
              <w:t>+42 pts</w:t>
            </w:r>
          </w:p>
        </w:tc>
      </w:tr>
    </w:tbl>
    <w:p w14:paraId="31D74DDB" w14:textId="77777777" w:rsidR="00862531" w:rsidRPr="00FF45BC" w:rsidRDefault="00862531" w:rsidP="00862531">
      <w:r w:rsidRPr="00FF45BC">
        <w:rPr>
          <w:b/>
          <w:bCs/>
        </w:rPr>
        <w:t>Interpretation:</w:t>
      </w:r>
    </w:p>
    <w:p w14:paraId="2BD29976" w14:textId="77777777" w:rsidR="00862531" w:rsidRPr="00FF45BC" w:rsidRDefault="00862531" w:rsidP="00862531">
      <w:pPr>
        <w:numPr>
          <w:ilvl w:val="0"/>
          <w:numId w:val="9"/>
        </w:numPr>
      </w:pPr>
      <w:r w:rsidRPr="00FF45BC">
        <w:t>Growth far exceeded standard STAAR expectations across all priority groups.</w:t>
      </w:r>
    </w:p>
    <w:p w14:paraId="4956019C" w14:textId="77777777" w:rsidR="00862531" w:rsidRPr="00FF45BC" w:rsidRDefault="00862531" w:rsidP="00862531">
      <w:pPr>
        <w:numPr>
          <w:ilvl w:val="0"/>
          <w:numId w:val="9"/>
        </w:numPr>
      </w:pPr>
      <w:r w:rsidRPr="00FF45BC">
        <w:t xml:space="preserve">SPED subgroup showed a particularly remarkable </w:t>
      </w:r>
      <w:proofErr w:type="gramStart"/>
      <w:r w:rsidRPr="00FF45BC">
        <w:t>+42 point</w:t>
      </w:r>
      <w:proofErr w:type="gramEnd"/>
      <w:r w:rsidRPr="00FF45BC">
        <w:t xml:space="preserve"> growth gain.</w:t>
      </w:r>
    </w:p>
    <w:p w14:paraId="03888AED" w14:textId="77777777" w:rsidR="00862531" w:rsidRPr="00FF45BC" w:rsidRDefault="00862531" w:rsidP="00862531">
      <w:pPr>
        <w:numPr>
          <w:ilvl w:val="0"/>
          <w:numId w:val="9"/>
        </w:numPr>
      </w:pPr>
      <w:r w:rsidRPr="00FF45BC">
        <w:t xml:space="preserve">This affirms that integrated cognitive </w:t>
      </w:r>
      <w:proofErr w:type="gramStart"/>
      <w:r w:rsidRPr="00FF45BC">
        <w:t>supports</w:t>
      </w:r>
      <w:proofErr w:type="gramEnd"/>
      <w:r w:rsidRPr="00FF45BC">
        <w:t xml:space="preserve"> (Screen to Scratch) especially benefited historically underserved populations, consistent with findings from Amplify and Graham &amp; Hebert on cross-genre literacy intervention impact.</w:t>
      </w:r>
    </w:p>
    <w:p w14:paraId="284663FD" w14:textId="77777777" w:rsidR="00862531" w:rsidRPr="00FF45BC" w:rsidRDefault="00862531" w:rsidP="00862531">
      <w:r>
        <w:pict w14:anchorId="1D85A5FD">
          <v:rect id="_x0000_i1030" style="width:0;height:1.5pt" o:hralign="center" o:hrstd="t" o:hr="t" fillcolor="#a0a0a0" stroked="f"/>
        </w:pict>
      </w:r>
    </w:p>
    <w:p w14:paraId="2F76BC19" w14:textId="77777777" w:rsidR="00862531" w:rsidRPr="00FF45BC" w:rsidRDefault="00862531" w:rsidP="00862531">
      <w:pPr>
        <w:rPr>
          <w:b/>
          <w:bCs/>
        </w:rPr>
      </w:pPr>
      <w:r w:rsidRPr="00FF45BC">
        <w:rPr>
          <w:b/>
          <w:bCs/>
        </w:rPr>
        <w:t>Section 6: Accelerated Learning (AL) Outcomes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93"/>
        <w:gridCol w:w="1836"/>
      </w:tblGrid>
      <w:tr w:rsidR="00862531" w:rsidRPr="00FF45BC" w14:paraId="54B809F6" w14:textId="77777777" w:rsidTr="00F44F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AE717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18205FA9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D028514" w14:textId="77777777" w:rsidR="00862531" w:rsidRPr="00FF45BC" w:rsidRDefault="00862531" w:rsidP="00800B12">
            <w:pPr>
              <w:rPr>
                <w:b/>
                <w:bCs/>
              </w:rPr>
            </w:pPr>
            <w:r w:rsidRPr="00FF45BC">
              <w:rPr>
                <w:b/>
                <w:bCs/>
              </w:rPr>
              <w:t>Campus % in AL</w:t>
            </w:r>
          </w:p>
        </w:tc>
      </w:tr>
      <w:tr w:rsidR="00862531" w:rsidRPr="00FF45BC" w14:paraId="4461EF79" w14:textId="77777777" w:rsidTr="00F44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86D0" w14:textId="77777777" w:rsidR="00862531" w:rsidRPr="00FF45BC" w:rsidRDefault="00862531" w:rsidP="00800B12">
            <w:r w:rsidRPr="00FF45BC">
              <w:t>5th</w:t>
            </w:r>
          </w:p>
        </w:tc>
        <w:tc>
          <w:tcPr>
            <w:tcW w:w="0" w:type="auto"/>
            <w:vAlign w:val="center"/>
            <w:hideMark/>
          </w:tcPr>
          <w:p w14:paraId="0334C96F" w14:textId="77777777" w:rsidR="00862531" w:rsidRPr="00FF45BC" w:rsidRDefault="00862531" w:rsidP="00800B12">
            <w:r w:rsidRPr="00FF45BC">
              <w:t>2023</w:t>
            </w:r>
          </w:p>
        </w:tc>
        <w:tc>
          <w:tcPr>
            <w:tcW w:w="0" w:type="auto"/>
            <w:vAlign w:val="center"/>
            <w:hideMark/>
          </w:tcPr>
          <w:p w14:paraId="1B206225" w14:textId="77777777" w:rsidR="00862531" w:rsidRPr="00FF45BC" w:rsidRDefault="00862531" w:rsidP="00800B12">
            <w:r w:rsidRPr="00FF45BC">
              <w:t>35%</w:t>
            </w:r>
          </w:p>
        </w:tc>
      </w:tr>
      <w:tr w:rsidR="00862531" w:rsidRPr="00FF45BC" w14:paraId="2D013BBE" w14:textId="77777777" w:rsidTr="00F44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D11E" w14:textId="77777777" w:rsidR="00862531" w:rsidRPr="00FF45BC" w:rsidRDefault="00862531" w:rsidP="00800B12">
            <w:r w:rsidRPr="00FF45BC">
              <w:t>5th</w:t>
            </w:r>
          </w:p>
        </w:tc>
        <w:tc>
          <w:tcPr>
            <w:tcW w:w="0" w:type="auto"/>
            <w:vAlign w:val="center"/>
            <w:hideMark/>
          </w:tcPr>
          <w:p w14:paraId="5E5F55C5" w14:textId="77777777" w:rsidR="00862531" w:rsidRPr="00FF45BC" w:rsidRDefault="00862531" w:rsidP="00800B12">
            <w:r w:rsidRPr="00FF45BC">
              <w:t>2024</w:t>
            </w:r>
          </w:p>
        </w:tc>
        <w:tc>
          <w:tcPr>
            <w:tcW w:w="0" w:type="auto"/>
            <w:vAlign w:val="center"/>
            <w:hideMark/>
          </w:tcPr>
          <w:p w14:paraId="0A6A59BC" w14:textId="77777777" w:rsidR="00862531" w:rsidRPr="00FF45BC" w:rsidRDefault="00862531" w:rsidP="00800B12">
            <w:r w:rsidRPr="00FF45BC">
              <w:t>47%</w:t>
            </w:r>
          </w:p>
        </w:tc>
      </w:tr>
    </w:tbl>
    <w:p w14:paraId="235DB594" w14:textId="77777777" w:rsidR="00862531" w:rsidRPr="00FF45BC" w:rsidRDefault="00862531" w:rsidP="00862531">
      <w:r w:rsidRPr="00FF45BC">
        <w:rPr>
          <w:b/>
          <w:bCs/>
        </w:rPr>
        <w:t>Interpretation:</w:t>
      </w:r>
    </w:p>
    <w:p w14:paraId="5D0BA22A" w14:textId="77777777" w:rsidR="00862531" w:rsidRPr="00FF45BC" w:rsidRDefault="00862531" w:rsidP="00862531">
      <w:pPr>
        <w:numPr>
          <w:ilvl w:val="0"/>
          <w:numId w:val="10"/>
        </w:numPr>
      </w:pPr>
      <w:r w:rsidRPr="00FF45BC">
        <w:t xml:space="preserve">A rise to 47% AL </w:t>
      </w:r>
      <w:r>
        <w:t>meets passing standard</w:t>
      </w:r>
      <w:r w:rsidRPr="00FF45BC">
        <w:t xml:space="preserve"> in 5th grade </w:t>
      </w:r>
      <w:r>
        <w:t>Reading (</w:t>
      </w:r>
      <w:r w:rsidRPr="00FF45BC">
        <w:t>2024</w:t>
      </w:r>
      <w:r>
        <w:t xml:space="preserve">) </w:t>
      </w:r>
      <w:r w:rsidRPr="00FF45BC">
        <w:t>shows targeted support scaled dramatically.</w:t>
      </w:r>
    </w:p>
    <w:p w14:paraId="22591654" w14:textId="77777777" w:rsidR="00862531" w:rsidRPr="00FF45BC" w:rsidRDefault="00862531" w:rsidP="00862531">
      <w:pPr>
        <w:numPr>
          <w:ilvl w:val="0"/>
          <w:numId w:val="10"/>
        </w:numPr>
      </w:pPr>
      <w:r w:rsidRPr="00FF45BC">
        <w:t>Despite higher AL rates (and therefore larger at-risk groups), fifth graders still showed cohort-leading gains in Meets and Masters rates.</w:t>
      </w:r>
    </w:p>
    <w:p w14:paraId="4EBA4BAA" w14:textId="77777777" w:rsidR="00862531" w:rsidRPr="00FF45BC" w:rsidRDefault="00862531" w:rsidP="00862531">
      <w:r>
        <w:pict w14:anchorId="2B3D98CD">
          <v:rect id="_x0000_i1031" style="width:0;height:1.5pt" o:hralign="center" o:hrstd="t" o:hr="t" fillcolor="#a0a0a0" stroked="f"/>
        </w:pict>
      </w:r>
    </w:p>
    <w:p w14:paraId="5BF5869B" w14:textId="77777777" w:rsidR="00862531" w:rsidRPr="00FF45BC" w:rsidRDefault="00862531" w:rsidP="00862531">
      <w:pPr>
        <w:rPr>
          <w:b/>
          <w:bCs/>
        </w:rPr>
      </w:pPr>
      <w:r w:rsidRPr="00FF45BC">
        <w:rPr>
          <w:b/>
          <w:bCs/>
        </w:rPr>
        <w:t>Section 7: Instructional Strategy Integration — The Power of Screen to Scratch</w:t>
      </w:r>
    </w:p>
    <w:p w14:paraId="7539DDF1" w14:textId="77777777" w:rsidR="00862531" w:rsidRPr="00FF45BC" w:rsidRDefault="00862531" w:rsidP="00862531">
      <w:r w:rsidRPr="00FF45BC">
        <w:t xml:space="preserve">The </w:t>
      </w:r>
      <w:r w:rsidRPr="00FF45BC">
        <w:rPr>
          <w:b/>
          <w:bCs/>
        </w:rPr>
        <w:t>Screen to Scratch</w:t>
      </w:r>
      <w:r w:rsidRPr="00FF45BC">
        <w:t xml:space="preserve"> system merged:</w:t>
      </w:r>
    </w:p>
    <w:p w14:paraId="48046D7F" w14:textId="77777777" w:rsidR="00862531" w:rsidRPr="00FF45BC" w:rsidRDefault="00862531" w:rsidP="00862531">
      <w:pPr>
        <w:numPr>
          <w:ilvl w:val="0"/>
          <w:numId w:val="11"/>
        </w:numPr>
      </w:pPr>
      <w:r w:rsidRPr="00FF45BC">
        <w:t xml:space="preserve">Digital reading annotation focused on </w:t>
      </w:r>
      <w:proofErr w:type="gramStart"/>
      <w:r w:rsidRPr="00FF45BC">
        <w:t>author’s</w:t>
      </w:r>
      <w:proofErr w:type="gramEnd"/>
      <w:r w:rsidRPr="00FF45BC">
        <w:t xml:space="preserve"> purpose and structural analysis.</w:t>
      </w:r>
    </w:p>
    <w:p w14:paraId="6CE98038" w14:textId="77777777" w:rsidR="00862531" w:rsidRPr="00FF45BC" w:rsidRDefault="00862531" w:rsidP="00862531">
      <w:pPr>
        <w:numPr>
          <w:ilvl w:val="0"/>
          <w:numId w:val="11"/>
        </w:numPr>
      </w:pPr>
      <w:r w:rsidRPr="00FF45BC">
        <w:t xml:space="preserve">Writing engagement </w:t>
      </w:r>
      <w:proofErr w:type="gramStart"/>
      <w:r w:rsidRPr="00FF45BC">
        <w:t>requiring</w:t>
      </w:r>
      <w:proofErr w:type="gramEnd"/>
      <w:r w:rsidRPr="00FF45BC">
        <w:t xml:space="preserve"> students to synthesize annotations into purposeful compositions.</w:t>
      </w:r>
    </w:p>
    <w:p w14:paraId="54E8D170" w14:textId="77777777" w:rsidR="00862531" w:rsidRPr="00FF45BC" w:rsidRDefault="00862531" w:rsidP="00862531">
      <w:pPr>
        <w:numPr>
          <w:ilvl w:val="0"/>
          <w:numId w:val="11"/>
        </w:numPr>
      </w:pPr>
      <w:r w:rsidRPr="00FF45BC">
        <w:t>Application across content areas (science/social studies) when ELA staffing gaps existed.</w:t>
      </w:r>
    </w:p>
    <w:p w14:paraId="02B7A183" w14:textId="6B3CF6A7" w:rsidR="00862531" w:rsidRPr="00FF45BC" w:rsidRDefault="00862531" w:rsidP="00862531">
      <w:r w:rsidRPr="00FF45BC">
        <w:t>By embedding authorial intention across all text engagement, we anchored reading and writing development in cognitive strategy</w:t>
      </w:r>
      <w:r>
        <w:t xml:space="preserve"> as the foundation, and supplemented learning with</w:t>
      </w:r>
      <w:r w:rsidRPr="00FF45BC">
        <w:t xml:space="preserve"> Shanahan’s research stresses that integrated reading and writing elevate student outcomes beyond siloed instruction.</w:t>
      </w:r>
    </w:p>
    <w:p w14:paraId="59BBE0AD" w14:textId="77777777" w:rsidR="00862531" w:rsidRPr="00FF45BC" w:rsidRDefault="00862531" w:rsidP="00862531">
      <w:r w:rsidRPr="00FF45BC">
        <w:t>AI-enhanced grammar exercises supplemented formal instruction gaps, particularly around sentence-level editing, without replacing the need for future explicit conventions teaching.</w:t>
      </w:r>
    </w:p>
    <w:p w14:paraId="17A72EA2" w14:textId="77777777" w:rsidR="00862531" w:rsidRPr="00FF45BC" w:rsidRDefault="00862531" w:rsidP="00862531">
      <w:r>
        <w:pict w14:anchorId="751BCBA8">
          <v:rect id="_x0000_i1032" style="width:0;height:1.5pt" o:hralign="center" o:hrstd="t" o:hr="t" fillcolor="#a0a0a0" stroked="f"/>
        </w:pict>
      </w:r>
    </w:p>
    <w:p w14:paraId="03B4C8E8" w14:textId="77777777" w:rsidR="00862531" w:rsidRPr="00FF45BC" w:rsidRDefault="00862531" w:rsidP="00862531">
      <w:pPr>
        <w:rPr>
          <w:b/>
          <w:bCs/>
        </w:rPr>
      </w:pPr>
      <w:r w:rsidRPr="00FF45BC">
        <w:rPr>
          <w:b/>
          <w:bCs/>
        </w:rPr>
        <w:t>Section 8: Key Findings and Conclusions</w:t>
      </w:r>
    </w:p>
    <w:p w14:paraId="498C2DC5" w14:textId="77777777" w:rsidR="00862531" w:rsidRPr="00FF45BC" w:rsidRDefault="00862531" w:rsidP="00862531">
      <w:pPr>
        <w:numPr>
          <w:ilvl w:val="0"/>
          <w:numId w:val="12"/>
        </w:numPr>
      </w:pPr>
      <w:r w:rsidRPr="00FF45BC">
        <w:rPr>
          <w:b/>
          <w:bCs/>
        </w:rPr>
        <w:t>Cohort C’s growth trajectory validates</w:t>
      </w:r>
      <w:r w:rsidRPr="00FF45BC">
        <w:t xml:space="preserve"> the intervention’s impact, especially given extreme staffing instability.</w:t>
      </w:r>
    </w:p>
    <w:p w14:paraId="21C4AEF7" w14:textId="77777777" w:rsidR="00862531" w:rsidRPr="00FF45BC" w:rsidRDefault="00862531" w:rsidP="00862531">
      <w:pPr>
        <w:numPr>
          <w:ilvl w:val="0"/>
          <w:numId w:val="12"/>
        </w:numPr>
      </w:pPr>
      <w:r w:rsidRPr="00FF45BC">
        <w:rPr>
          <w:b/>
          <w:bCs/>
        </w:rPr>
        <w:t>Screen to Scratch scaled across classrooms</w:t>
      </w:r>
      <w:r w:rsidRPr="00FF45BC">
        <w:t>—including substitutes—because of its conceptual clarity and transferability.</w:t>
      </w:r>
    </w:p>
    <w:p w14:paraId="11790FC0" w14:textId="77777777" w:rsidR="00862531" w:rsidRPr="00FF45BC" w:rsidRDefault="00862531" w:rsidP="00862531">
      <w:pPr>
        <w:numPr>
          <w:ilvl w:val="0"/>
          <w:numId w:val="12"/>
        </w:numPr>
      </w:pPr>
      <w:r w:rsidRPr="00FF45BC">
        <w:rPr>
          <w:b/>
          <w:bCs/>
        </w:rPr>
        <w:t>Subgroup acceleration provides equity evidence</w:t>
      </w:r>
      <w:r w:rsidRPr="00FF45BC">
        <w:t xml:space="preserve"> that cognitive-based literacy approaches reduce gaps for Eco Dis, EL, and SPED populations.</w:t>
      </w:r>
    </w:p>
    <w:p w14:paraId="6C5E004E" w14:textId="77777777" w:rsidR="00862531" w:rsidRPr="00FF45BC" w:rsidRDefault="00862531" w:rsidP="00862531">
      <w:pPr>
        <w:numPr>
          <w:ilvl w:val="0"/>
          <w:numId w:val="12"/>
        </w:numPr>
      </w:pPr>
      <w:r w:rsidRPr="00FF45BC">
        <w:rPr>
          <w:b/>
          <w:bCs/>
        </w:rPr>
        <w:t>Writing still demands more explicit conventions instruction</w:t>
      </w:r>
      <w:r w:rsidRPr="00FF45BC">
        <w:t>, a natural next step given the students’ strengthened comprehension and sentence structuring abilities.</w:t>
      </w:r>
    </w:p>
    <w:p w14:paraId="6D3E9C15" w14:textId="77777777" w:rsidR="00862531" w:rsidRPr="00FF45BC" w:rsidRDefault="00862531" w:rsidP="00862531">
      <w:r w:rsidRPr="00FF45BC">
        <w:t>This case story provides strong, research-aligned evidence of how intentional cognitive framing, cross-content transfer, and technology-supported scaffolds can accelerate student outcomes—even in challenging environments.</w:t>
      </w:r>
    </w:p>
    <w:p w14:paraId="15F6B343" w14:textId="77777777" w:rsidR="00862531" w:rsidRDefault="00862531" w:rsidP="00862531"/>
    <w:p w14:paraId="67C53D3F" w14:textId="77777777" w:rsidR="00BE42F6" w:rsidRDefault="00BE42F6"/>
    <w:sectPr w:rsidR="00BE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B10"/>
    <w:multiLevelType w:val="multilevel"/>
    <w:tmpl w:val="4CFC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F6D39"/>
    <w:multiLevelType w:val="multilevel"/>
    <w:tmpl w:val="D882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713CB"/>
    <w:multiLevelType w:val="multilevel"/>
    <w:tmpl w:val="0340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95BD7"/>
    <w:multiLevelType w:val="multilevel"/>
    <w:tmpl w:val="0E6C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A0C22"/>
    <w:multiLevelType w:val="multilevel"/>
    <w:tmpl w:val="62F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425EC"/>
    <w:multiLevelType w:val="multilevel"/>
    <w:tmpl w:val="149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A5259"/>
    <w:multiLevelType w:val="multilevel"/>
    <w:tmpl w:val="D116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E3511"/>
    <w:multiLevelType w:val="multilevel"/>
    <w:tmpl w:val="017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156BF"/>
    <w:multiLevelType w:val="multilevel"/>
    <w:tmpl w:val="3AA0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E7187"/>
    <w:multiLevelType w:val="multilevel"/>
    <w:tmpl w:val="21B0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97B43"/>
    <w:multiLevelType w:val="multilevel"/>
    <w:tmpl w:val="F72A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D44D0"/>
    <w:multiLevelType w:val="multilevel"/>
    <w:tmpl w:val="38D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363694">
    <w:abstractNumId w:val="6"/>
  </w:num>
  <w:num w:numId="2" w16cid:durableId="1863736543">
    <w:abstractNumId w:val="8"/>
  </w:num>
  <w:num w:numId="3" w16cid:durableId="1203446239">
    <w:abstractNumId w:val="11"/>
  </w:num>
  <w:num w:numId="4" w16cid:durableId="1672289819">
    <w:abstractNumId w:val="5"/>
  </w:num>
  <w:num w:numId="5" w16cid:durableId="2091341171">
    <w:abstractNumId w:val="2"/>
  </w:num>
  <w:num w:numId="6" w16cid:durableId="28532058">
    <w:abstractNumId w:val="9"/>
  </w:num>
  <w:num w:numId="7" w16cid:durableId="999382025">
    <w:abstractNumId w:val="3"/>
  </w:num>
  <w:num w:numId="8" w16cid:durableId="1535381854">
    <w:abstractNumId w:val="0"/>
  </w:num>
  <w:num w:numId="9" w16cid:durableId="1024017586">
    <w:abstractNumId w:val="7"/>
  </w:num>
  <w:num w:numId="10" w16cid:durableId="883639220">
    <w:abstractNumId w:val="10"/>
  </w:num>
  <w:num w:numId="11" w16cid:durableId="1054113344">
    <w:abstractNumId w:val="1"/>
  </w:num>
  <w:num w:numId="12" w16cid:durableId="1301106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val="fullPage"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1"/>
    <w:rsid w:val="00580A5D"/>
    <w:rsid w:val="00862531"/>
    <w:rsid w:val="008F421B"/>
    <w:rsid w:val="00BB288A"/>
    <w:rsid w:val="00BE42F6"/>
    <w:rsid w:val="00D675DC"/>
    <w:rsid w:val="00F4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54D5"/>
  <w15:chartTrackingRefBased/>
  <w15:docId w15:val="{CDF85669-29E0-4D91-9FC5-3B028C21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531"/>
  </w:style>
  <w:style w:type="paragraph" w:styleId="Heading1">
    <w:name w:val="heading 1"/>
    <w:basedOn w:val="Normal"/>
    <w:next w:val="Normal"/>
    <w:link w:val="Heading1Char"/>
    <w:uiPriority w:val="9"/>
    <w:qFormat/>
    <w:rsid w:val="0086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5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0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Marlitha Williams</dc:creator>
  <cp:keywords/>
  <dc:description/>
  <cp:lastModifiedBy>Marlitha Williams</cp:lastModifiedBy>
  <cp:revision>1</cp:revision>
  <dcterms:created xsi:type="dcterms:W3CDTF">2025-04-28T16:57:00Z</dcterms:created>
  <dcterms:modified xsi:type="dcterms:W3CDTF">2025-04-28T17:32:00Z</dcterms:modified>
</cp:coreProperties>
</file>