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MATCHBOOK LEARNING  ·  IN-CLASS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3312c" w:space="4" w:sz="18" w:val="single"/>
        </w:pBd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30"/>
          <w:szCs w:val="30"/>
          <w:rtl w:val="0"/>
        </w:rPr>
        <w:t xml:space="preserve">Using an Attention-Getter — Lower Grades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See It — a reference for what this procedure looks like when it's tight.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7"/>
          <w:szCs w:val="17"/>
          <w:rtl w:val="0"/>
        </w:rPr>
        <w:t xml:space="preserve">This page covers the attention-getter itself — not the full transition to circle or the routines around partner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left w:color="b3312c" w:space="8" w:sz="24" w:val="single"/>
        </w:pBdr>
        <w:shd w:fill="f2f2f2" w:val="clear"/>
        <w:spacing w:after="14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Rationale: 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An attention-getter is how a teacher regains 100 percent of the room's focus mid-task without shouting over students. A single, dependable cue — used the exact same way every time — means students never have to guess when it's time to stop, look, and listen, and the teacher never has to compete with the noise of the room to be heard.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17"/>
          <w:szCs w:val="17"/>
          <w:rtl w:val="0"/>
        </w:rPr>
        <w:t xml:space="preserve">A note on using this page:  </w:t>
      </w:r>
      <w:r w:rsidDel="00000000" w:rsidR="00000000" w:rsidRPr="00000000">
        <w:rPr>
          <w:rFonts w:ascii="Calibri" w:cs="Calibri" w:eastAsia="Calibri" w:hAnsi="Calibri"/>
          <w:color w:val="595959"/>
          <w:sz w:val="17"/>
          <w:szCs w:val="17"/>
          <w:rtl w:val="0"/>
        </w:rPr>
        <w:t xml:space="preserve">the shape is the non-negotiable parameter — one dependable cue, used the same way every time, held until 100 percent. Which of the two approved cues below a teacher uses is a one-time choice, made and held consistently for the whole year. Use the “Our Room's Specifics” column to record which one this room 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b3312c" w:space="3" w:sz="8" w:val="single"/>
        </w:pBdr>
        <w:spacing w:after="5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1"/>
          <w:szCs w:val="21"/>
          <w:rtl w:val="0"/>
        </w:rPr>
        <w:t xml:space="preserve">Choosing Your Cue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18"/>
          <w:szCs w:val="18"/>
          <w:rtl w:val="0"/>
        </w:rPr>
        <w:t xml:space="preserve">Countdown: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a five-count (or similar) countdown — students have that many seconds to stop, look, and listen before the count 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18"/>
          <w:szCs w:val="18"/>
          <w:rtl w:val="0"/>
        </w:rPr>
        <w:t xml:space="preserve">Call-and-response: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teacher says “1–2–3, all eyes on me,” students respond “1–2, eyes on you.”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Rhythmic clap patterns are not used as an attention-getter — they're easy to lose in a large group and inconsistent to sustain.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b3312c" w:space="3" w:sz="8" w:val="single"/>
        </w:pBdr>
        <w:spacing w:after="5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1"/>
          <w:szCs w:val="21"/>
          <w:rtl w:val="0"/>
        </w:rPr>
        <w:t xml:space="preserve">Using the Attention-Getter</w:t>
      </w:r>
      <w:r w:rsidDel="00000000" w:rsidR="00000000" w:rsidRPr="00000000">
        <w:rPr>
          <w:rtl w:val="0"/>
        </w:rPr>
      </w:r>
    </w:p>
    <w:tbl>
      <w:tblPr>
        <w:tblStyle w:val="Table1"/>
        <w:tblW w:w="11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3775"/>
        <w:gridCol w:w="3775"/>
        <w:gridCol w:w="3000"/>
        <w:tblGridChange w:id="0">
          <w:tblGrid>
            <w:gridCol w:w="450"/>
            <w:gridCol w:w="3775"/>
            <w:gridCol w:w="3775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262626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62626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TEACHER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62626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STUDENTS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3312c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OUR ROOM'S SPECIFICS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3312c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Gives the room's one chosen cue (countdown or call-and-response) at a volume that cuts through the current activity.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Stop talking and working immediately at the first word of the cue — mid-sentence, mid-task.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3312c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Says the cue at a steady, unhurried pace — never rushed — so the whole room can complete it together.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Complete the countdown or response together as a class, rather than trailing off individually.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3312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Confirms 100 percent — every student settled into STAR (Sit up, Track the speaker, Ask &amp; answer questions, Ready to listen) — before giving the next direction.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Settle into STAR: sit up, track the speaker, be ready to ask or answer, ready to listen.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3312c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Follows up with specific, positive narration of who's demonstrating STAR (“Row 3, that's exactly what STAR looks like”) before moving 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Notice the behavior being named and keep it going — this is the standard, not a one-time compliment.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30.0" w:type="dxa"/>
              <w:left w:w="60.0" w:type="dxa"/>
              <w:bottom w:w="3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3312c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If 100 percent isn't reached, repeats the cue calmly rather than talking over the room.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2626"/>
                <w:sz w:val="18"/>
                <w:szCs w:val="18"/>
                <w:rtl w:val="0"/>
              </w:rPr>
              <w:t xml:space="preserve">Reset immediately if the cue repeats — partial compliance isn't the standard.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30.0" w:type="dxa"/>
              <w:left w:w="100.0" w:type="dxa"/>
              <w:bottom w:w="3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left w:color="b3312c" w:space="8" w:sz="24" w:val="single"/>
        </w:pBdr>
        <w:shd w:fill="f2f2f2" w:val="clear"/>
        <w:spacing w:after="14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A note on STAR: 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STAR is a reset point, not a posture students hold for an entire lesson — it's the “home base” a student returns to when regrouping from something less structured (partner work, movement, a game) back to something more structured (whole-group instruction). STAR is a listening posture, and listening is mostly for receiving directions — the real work of learning happens through reading, writing, and speaking, not through sitting and listening. A lesson should not be interrupted to redirect a student back into STAR.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b3312c" w:space="3" w:sz="8" w:val="single"/>
        </w:pBdr>
        <w:spacing w:after="5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1"/>
          <w:szCs w:val="21"/>
          <w:rtl w:val="0"/>
        </w:rPr>
        <w:t xml:space="preserve">Non-Negotiables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Only one attention-getter cue is used in this room — the same one, every time, never mixed with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Rhythmic clapping patterns are never used as the cue.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The teacher never raises their voice to be heard over the room — the cue is repeated, not shouted 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100 percent is required before the next direction is given — not “close enough.”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STAR is a reset point, not a default posture — students aren't expected to hold it for the whole lesson.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Individual students are never corrected back into STAR mid-lesson — it protects the room's momentum, and it keeps STAR a directions-posture rather than mistaking it for a learning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262626" w:val="clear"/>
        <w:spacing w:after="20" w:before="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16"/>
          <w:szCs w:val="16"/>
          <w:rtl w:val="0"/>
        </w:rPr>
        <w:t xml:space="preserve">  SAMPLE TEACHER LANGUAGE (WTD)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Countdown: 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“5–4–3–2–1.” (pause, wait for 100 percent)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Call-and-response: 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“1–2–3, all eyes on me!” → students: “1–2, eyes on you!”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d9d9d9" w:space="4" w:sz="4" w:val="single"/>
        </w:pBdr>
        <w:spacing w:before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4"/>
          <w:szCs w:val="14"/>
          <w:rtl w:val="0"/>
        </w:rPr>
        <w:t xml:space="preserve">*  Choose one cue and hold it all year — switching cues mid-year re-teaches the routine from scratch. Where the upper/lower split falls is fluid and up to each teacher's classroom management.  ·  TLAC: 100 Percent, Strong Voice  ·  GBF: Radar / Withitness  ·  Procedural Constancy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1"/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MATCHBOOK LEARNING  ·  IN-CLASS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b3312c" w:space="4" w:sz="18" w:val="single"/>
        </w:pBd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8"/>
          <w:szCs w:val="28"/>
          <w:rtl w:val="0"/>
        </w:rPr>
        <w:t>Teaching the Attention-Getter: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b3312c" w:space="8" w:sz="24" w:val="single"/>
        </w:pBdr>
        <w:shd w:fill="f2f2f2" w:val="clear"/>
        <w:spacing w:after="16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>Use this script to teach the routine. It uses the call-and-response cue. Rooms that use the countdown teach the same steps with the countdown.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b3312c" w:space="3" w:sz="8" w:val="single"/>
        </w:pBdr>
        <w:spacing w:after="5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1"/>
          <w:szCs w:val="21"/>
          <w:rtl w:val="0"/>
        </w:rPr>
        <w:t xml:space="preserve">Day 1: Introducing the Attention-Getter  (≈ 12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9"/>
          <w:szCs w:val="19"/>
          <w:rtl w:val="0"/>
        </w:rPr>
        <w:t xml:space="preserve">1.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19"/>
          <w:szCs w:val="19"/>
          <w:rtl w:val="0"/>
        </w:rPr>
        <w:t xml:space="preserve">Hook &amp; Purpose  (2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7"/>
          <w:szCs w:val="17"/>
          <w:rtl w:val="0"/>
        </w:rPr>
        <w:t xml:space="preserve">SAY: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62626"/>
          <w:sz w:val="17"/>
          <w:szCs w:val="17"/>
          <w:rtl w:val="0"/>
        </w:rPr>
        <w:t xml:space="preserve">“Sometimes I need everyone's attention back really quickly, even in the middle of something fun. We're going to learn one signal that means — right away, no matter what — eyes and ears come to me.”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7"/>
          <w:szCs w:val="17"/>
          <w:rtl w:val="0"/>
        </w:rPr>
        <w:t xml:space="preserve">DO:  </w:t>
      </w:r>
      <w:r w:rsidDel="00000000" w:rsidR="00000000" w:rsidRPr="00000000">
        <w:rPr>
          <w:rFonts w:ascii="Calibri" w:cs="Calibri" w:eastAsia="Calibri" w:hAnsi="Calibri"/>
          <w:color w:val="595959"/>
          <w:sz w:val="17"/>
          <w:szCs w:val="17"/>
          <w:rtl w:val="0"/>
        </w:rPr>
        <w:t xml:space="preserve">Gather students where they can hear and see clearly, seated at their normal spots.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9"/>
          <w:szCs w:val="19"/>
          <w:rtl w:val="0"/>
        </w:rPr>
        <w:t xml:space="preserve">2.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19"/>
          <w:szCs w:val="19"/>
          <w:rtl w:val="0"/>
        </w:rPr>
        <w:t xml:space="preserve">Model the Cue  (2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7"/>
          <w:szCs w:val="17"/>
          <w:rtl w:val="0"/>
        </w:rPr>
        <w:t xml:space="preserve">SAY: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62626"/>
          <w:sz w:val="17"/>
          <w:szCs w:val="17"/>
          <w:rtl w:val="0"/>
        </w:rPr>
        <w:t xml:space="preserve">“Watch and listen. When I say ‘1–2–3, all eyes on me,’ you say back ‘1–2, eyes on you,’ and then your body gets into STAR: sit up, track me, ready to ask or answer, ready to listen.”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7"/>
          <w:szCs w:val="17"/>
          <w:rtl w:val="0"/>
        </w:rPr>
        <w:t xml:space="preserve">DO:  </w:t>
      </w:r>
      <w:r w:rsidDel="00000000" w:rsidR="00000000" w:rsidRPr="00000000">
        <w:rPr>
          <w:rFonts w:ascii="Calibri" w:cs="Calibri" w:eastAsia="Calibri" w:hAnsi="Calibri"/>
          <w:color w:val="595959"/>
          <w:sz w:val="17"/>
          <w:szCs w:val="17"/>
          <w:rtl w:val="0"/>
        </w:rPr>
        <w:t xml:space="preserve">Say the full cue once, then demonstrate STAR posture and name each letter as you model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9"/>
          <w:szCs w:val="19"/>
          <w:rtl w:val="0"/>
        </w:rPr>
        <w:t xml:space="preserve">3.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19"/>
          <w:szCs w:val="19"/>
          <w:rtl w:val="0"/>
        </w:rPr>
        <w:t xml:space="preserve">Practice Cold  (2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7"/>
          <w:szCs w:val="17"/>
          <w:rtl w:val="0"/>
        </w:rPr>
        <w:t xml:space="preserve">SAY: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62626"/>
          <w:sz w:val="17"/>
          <w:szCs w:val="17"/>
          <w:rtl w:val="0"/>
        </w:rPr>
        <w:t xml:space="preserve">“Let's practice it once with nothing else going on, just so your bodies know what STAR feels like.”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7"/>
          <w:szCs w:val="17"/>
          <w:rtl w:val="0"/>
        </w:rPr>
        <w:t xml:space="preserve">DO:  </w:t>
      </w:r>
      <w:r w:rsidDel="00000000" w:rsidR="00000000" w:rsidRPr="00000000">
        <w:rPr>
          <w:rFonts w:ascii="Calibri" w:cs="Calibri" w:eastAsia="Calibri" w:hAnsi="Calibri"/>
          <w:color w:val="595959"/>
          <w:sz w:val="17"/>
          <w:szCs w:val="17"/>
          <w:rtl w:val="0"/>
        </w:rPr>
        <w:t xml:space="preserve">Give the cue, wait for the full class response, then narrate specifically and positively who's already in STAR (“Table 2, you're already tracking me — that's exactly it.”).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9"/>
          <w:szCs w:val="19"/>
          <w:rtl w:val="0"/>
        </w:rPr>
        <w:t xml:space="preserve">4.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19"/>
          <w:szCs w:val="19"/>
          <w:rtl w:val="0"/>
        </w:rPr>
        <w:t xml:space="preserve">Practice After Turn &amp; Talk  (4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7"/>
          <w:szCs w:val="17"/>
          <w:rtl w:val="0"/>
        </w:rPr>
        <w:t xml:space="preserve">SAY: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62626"/>
          <w:sz w:val="17"/>
          <w:szCs w:val="17"/>
          <w:rtl w:val="0"/>
        </w:rPr>
        <w:t xml:space="preserve">“Now for the real test. I'm going to give you something fun to turn and talk about — and then I'm going to use our signal to bring your attention back. Let's see how fast we can do it.”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7"/>
          <w:szCs w:val="17"/>
          <w:rtl w:val="0"/>
        </w:rPr>
        <w:t xml:space="preserve">DO:  </w:t>
      </w:r>
      <w:r w:rsidDel="00000000" w:rsidR="00000000" w:rsidRPr="00000000">
        <w:rPr>
          <w:rFonts w:ascii="Calibri" w:cs="Calibri" w:eastAsia="Calibri" w:hAnsi="Calibri"/>
          <w:color w:val="595959"/>
          <w:sz w:val="17"/>
          <w:szCs w:val="17"/>
          <w:rtl w:val="0"/>
        </w:rPr>
        <w:t xml:space="preserve">Give a low-stakes Turn &amp; Talk prompt, let the room get genuinely loud and engaged for 20–30 seconds, then use the cue. If 100 percent isn't reached the first time, repeat the cue calmly — don't talk over the room — and try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9"/>
          <w:szCs w:val="19"/>
          <w:rtl w:val="0"/>
        </w:rPr>
        <w:t xml:space="preserve">5.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19"/>
          <w:szCs w:val="19"/>
          <w:rtl w:val="0"/>
        </w:rPr>
        <w:t xml:space="preserve">Reset &amp; Repeat if Needed  (2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7"/>
          <w:szCs w:val="17"/>
          <w:rtl w:val="0"/>
        </w:rPr>
        <w:t xml:space="preserve">SAY: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62626"/>
          <w:sz w:val="17"/>
          <w:szCs w:val="17"/>
          <w:rtl w:val="0"/>
        </w:rPr>
        <w:t xml:space="preserve">“That wasn't quite 100 percent yet — let's do one more Turn &amp; Talk and try bringing it back again.”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0" w:lineRule="auto"/>
        <w:ind w:left="18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7"/>
          <w:szCs w:val="17"/>
          <w:rtl w:val="0"/>
        </w:rPr>
        <w:t xml:space="preserve">DO:  </w:t>
      </w:r>
      <w:r w:rsidDel="00000000" w:rsidR="00000000" w:rsidRPr="00000000">
        <w:rPr>
          <w:rFonts w:ascii="Calibri" w:cs="Calibri" w:eastAsia="Calibri" w:hAnsi="Calibri"/>
          <w:color w:val="595959"/>
          <w:sz w:val="17"/>
          <w:szCs w:val="17"/>
          <w:rtl w:val="0"/>
        </w:rPr>
        <w:t xml:space="preserve">Run a second Turn &amp; Talk → attention-getter rep if the first one wasn't clean. Narrate specifically once the room lands on 100 percent.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b3312c" w:space="3" w:sz="8" w:val="single"/>
        </w:pBdr>
        <w:spacing w:after="5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62626"/>
          <w:sz w:val="21"/>
          <w:szCs w:val="21"/>
          <w:rtl w:val="0"/>
        </w:rPr>
        <w:t xml:space="preserve">Days 2–5: Reinforcing the Routine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Use the exact same cue every single time — never substitute a different phrase or a clap in the moment.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Narrate specifically and positively every time the room nails STAR (“That was fast and everyone's in STAR — that's exactly it.”) — this isn't a one-time compliment, it's the routine.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If the room doesn't reach 100 percent, repeat the cue calmly rather than raising your voice or moving on anyway.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Remember: STAR is a reset, not a resting posture. Students don't learn while sitting in STAR — it's for receiving directions, not for the thinking and talking that learning requires — so don't hold the class there for extended stretches, and don't stop the lesson to fix one student's posture individually.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b3312c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color w:val="262626"/>
          <w:sz w:val="18"/>
          <w:szCs w:val="18"/>
          <w:rtl w:val="0"/>
        </w:rPr>
        <w:t xml:space="preserve">By day 5 or sooner, expect the cue to work instantly, even mid-Turn &amp; Talk or mid-activity.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d9d9d9" w:space="4" w:sz="4" w:val="single"/>
        </w:pBdr>
        <w:spacing w:before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5"/>
          <w:szCs w:val="15"/>
          <w:rtl w:val="0"/>
        </w:rPr>
        <w:t>Set before Day 1: one cue (countdown or call-and-response), held all year.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00" w:top="380" w:left="700" w:right="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