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Narrow" w:hAnsi="Arial Narrow"/>
          <w:b/>
          <w:i w:val="0"/>
          <w:color w:val="E21C24"/>
          <w:sz w:val="21"/>
        </w:rPr>
        <w:t>MATCHBOOK CULTURE CAMP  ·  DAY 1  ·  TEACHER FACILITATION GUIDE</w:t>
      </w:r>
    </w:p>
    <w:p>
      <w:pPr>
        <w:pBdr>
          <w:bottom w:val="single" w:sz="18" w:space="2" w:color="E21C24"/>
        </w:pBdr>
      </w:pPr>
      <w:r>
        <w:rPr>
          <w:rFonts w:ascii="Arial Narrow" w:hAnsi="Arial Narrow"/>
          <w:b/>
          <w:i w:val="0"/>
          <w:color w:val="1A1A1A"/>
          <w:sz w:val="48"/>
        </w:rPr>
        <w:t>HALLWAY TRAVEL ROUTINE</w:t>
      </w:r>
    </w:p>
    <w:p/>
    <w:p>
      <w:r>
        <w:rPr>
          <w:rFonts w:ascii="Arial Narrow" w:hAnsi="Arial Narrow"/>
          <w:b/>
          <w:i w:val="0"/>
          <w:color w:val="1A1A1A"/>
          <w:sz w:val="26"/>
        </w:rPr>
        <w:t>SESSION IDENTITY</w:t>
      </w:r>
    </w:p>
    <w:p>
      <w:pPr>
        <w:pStyle w:val="ListBullet"/>
      </w:pPr>
      <w:r>
        <w:rPr>
          <w:rFonts w:ascii="Calibri" w:hAnsi="Calibri"/>
          <w:b w:val="0"/>
          <w:i w:val="0"/>
          <w:color w:val="4A4A4A"/>
          <w:sz w:val="22"/>
        </w:rPr>
        <w:t>Audience: Students and teachers</w:t>
      </w:r>
    </w:p>
    <w:p>
      <w:pPr>
        <w:pStyle w:val="ListBullet"/>
      </w:pPr>
      <w:r>
        <w:rPr>
          <w:rFonts w:ascii="Calibri" w:hAnsi="Calibri"/>
          <w:b w:val="0"/>
          <w:i w:val="0"/>
          <w:color w:val="4A4A4A"/>
          <w:sz w:val="22"/>
        </w:rPr>
        <w:t>Runtime: 20 minutes</w:t>
      </w:r>
    </w:p>
    <w:p>
      <w:pPr>
        <w:pStyle w:val="ListBullet"/>
      </w:pPr>
      <w:r>
        <w:rPr>
          <w:rFonts w:ascii="Calibri" w:hAnsi="Calibri"/>
          <w:b w:val="0"/>
          <w:i w:val="0"/>
          <w:color w:val="4A4A4A"/>
          <w:sz w:val="22"/>
        </w:rPr>
        <w:t>Culture Camp Day: Culture Camp Day 1</w:t>
      </w:r>
    </w:p>
    <w:p>
      <w:pPr>
        <w:pStyle w:val="ListBullet"/>
      </w:pPr>
      <w:r>
        <w:rPr>
          <w:rFonts w:ascii="Calibri" w:hAnsi="Calibri"/>
          <w:b w:val="0"/>
          <w:i w:val="0"/>
          <w:color w:val="4A4A4A"/>
          <w:sz w:val="22"/>
        </w:rPr>
        <w:t>Track: Movement and Physical Spaces</w:t>
      </w:r>
    </w:p>
    <w:p>
      <w:r>
        <w:rPr>
          <w:rFonts w:ascii="Arial Narrow" w:hAnsi="Arial Narrow"/>
          <w:b/>
          <w:i w:val="0"/>
          <w:color w:val="E21C24"/>
          <w:sz w:val="26"/>
        </w:rPr>
        <w:t>TEACHER PURPOSE</w:t>
      </w:r>
    </w:p>
    <w:p>
      <w:r>
        <w:rPr>
          <w:rFonts w:ascii="Calibri" w:hAnsi="Calibri"/>
          <w:b w:val="0"/>
          <w:i w:val="0"/>
          <w:color w:val="4A4A4A"/>
          <w:sz w:val="22"/>
        </w:rPr>
        <w:t>Hallway behavior is the single most visible culture indicator in a school. It is also the easiest culture moment to lose because no one owns it - it is between rooms, between adults, between activities. The hallway routine names what students do, where their eyes go, where their voices are, and what speed they travel at. Without a taught routine, the hallway becomes a social space. With one, it becomes a transition.</w:t>
      </w:r>
    </w:p>
    <w:p>
      <w:r>
        <w:rPr>
          <w:rFonts w:ascii="Arial Narrow" w:hAnsi="Arial Narrow"/>
          <w:b/>
          <w:i w:val="0"/>
          <w:color w:val="E21C24"/>
          <w:sz w:val="26"/>
        </w:rPr>
        <w:t>STUDENT OUTCOMES</w:t>
      </w:r>
    </w:p>
    <w:p>
      <w:pPr>
        <w:pStyle w:val="ListBullet"/>
      </w:pPr>
      <w:r>
        <w:rPr>
          <w:rFonts w:ascii="Calibri" w:hAnsi="Calibri"/>
          <w:b w:val="0"/>
          <w:i w:val="0"/>
          <w:color w:val="4A4A4A"/>
          <w:sz w:val="22"/>
        </w:rPr>
        <w:t>Demonstrate the four hallway moves: single line, right side, voice level 0, eyes forward.</w:t>
      </w:r>
    </w:p>
    <w:p>
      <w:pPr>
        <w:pStyle w:val="ListBullet"/>
      </w:pPr>
      <w:r>
        <w:rPr>
          <w:rFonts w:ascii="Calibri" w:hAnsi="Calibri"/>
          <w:b w:val="0"/>
          <w:i w:val="0"/>
          <w:color w:val="4A4A4A"/>
          <w:sz w:val="22"/>
        </w:rPr>
        <w:t>Travel the hallway as a class without prompting.</w:t>
      </w:r>
    </w:p>
    <w:p>
      <w:pPr>
        <w:pStyle w:val="ListBullet"/>
      </w:pPr>
      <w:r>
        <w:rPr>
          <w:rFonts w:ascii="Calibri" w:hAnsi="Calibri"/>
          <w:b w:val="0"/>
          <w:i w:val="0"/>
          <w:color w:val="4A4A4A"/>
          <w:sz w:val="22"/>
        </w:rPr>
        <w:t>Explain why hallway behavior matters to people outside the class.</w:t>
      </w:r>
    </w:p>
    <w:p>
      <w:r>
        <w:rPr>
          <w:rFonts w:ascii="Arial Narrow" w:hAnsi="Arial Narrow"/>
          <w:b/>
          <w:i w:val="0"/>
          <w:color w:val="E21C24"/>
          <w:sz w:val="32"/>
        </w:rPr>
        <w:t>RUN OF SHOW (TIME-STAMPED)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1A1A1A"/>
          </w:tcPr>
          <w:p>
            <w:r/>
            <w:r>
              <w:rPr>
                <w:rFonts w:ascii="Calibri" w:hAnsi="Calibri"/>
                <w:b/>
                <w:i w:val="0"/>
                <w:color w:val="FFFFFF"/>
                <w:sz w:val="19"/>
              </w:rPr>
              <w:t>Time</w:t>
            </w:r>
          </w:p>
        </w:tc>
        <w:tc>
          <w:tcPr>
            <w:tcW w:type="dxa" w:w="2556"/>
            <w:shd w:val="clear" w:fill="1A1A1A"/>
          </w:tcPr>
          <w:p>
            <w:r/>
            <w:r>
              <w:rPr>
                <w:rFonts w:ascii="Calibri" w:hAnsi="Calibri"/>
                <w:b/>
                <w:i w:val="0"/>
                <w:color w:val="FFFFFF"/>
                <w:sz w:val="19"/>
              </w:rPr>
              <w:t>Min</w:t>
            </w:r>
          </w:p>
        </w:tc>
        <w:tc>
          <w:tcPr>
            <w:tcW w:type="dxa" w:w="2556"/>
            <w:shd w:val="clear" w:fill="1A1A1A"/>
          </w:tcPr>
          <w:p>
            <w:r/>
            <w:r>
              <w:rPr>
                <w:rFonts w:ascii="Calibri" w:hAnsi="Calibri"/>
                <w:b/>
                <w:i w:val="0"/>
                <w:color w:val="FFFFFF"/>
                <w:sz w:val="19"/>
              </w:rPr>
              <w:t>Segment</w:t>
            </w:r>
          </w:p>
        </w:tc>
        <w:tc>
          <w:tcPr>
            <w:tcW w:type="dxa" w:w="2556"/>
            <w:shd w:val="clear" w:fill="1A1A1A"/>
          </w:tcPr>
          <w:p>
            <w:r/>
            <w:r>
              <w:rPr>
                <w:rFonts w:ascii="Calibri" w:hAnsi="Calibri"/>
                <w:b/>
                <w:i w:val="0"/>
                <w:color w:val="FFFFFF"/>
                <w:sz w:val="19"/>
              </w:rPr>
              <w:t>Teacher Direction</w:t>
            </w:r>
          </w:p>
        </w:tc>
      </w:tr>
      <w:tr>
        <w:tc>
          <w:tcPr>
            <w:tcW w:type="dxa" w:w="2556"/>
            <w:shd w:val="clear" w:fill="FFFFFF"/>
          </w:tcPr>
          <w:p>
            <w:r/>
            <w:r>
              <w:rPr>
                <w:rFonts w:ascii="Calibri" w:hAnsi="Calibri"/>
                <w:b w:val="0"/>
                <w:i w:val="0"/>
                <w:color w:val="4A4A4A"/>
                <w:sz w:val="19"/>
              </w:rPr>
              <w:t>0:00–0:03</w:t>
            </w:r>
          </w:p>
        </w:tc>
        <w:tc>
          <w:tcPr>
            <w:tcW w:type="dxa" w:w="2556"/>
            <w:shd w:val="clear" w:fill="FFFFFF"/>
          </w:tcPr>
          <w:p>
            <w:r/>
            <w:r>
              <w:rPr>
                <w:rFonts w:ascii="Calibri" w:hAnsi="Calibri"/>
                <w:b w:val="0"/>
                <w:i w:val="0"/>
                <w:color w:val="4A4A4A"/>
                <w:sz w:val="19"/>
              </w:rPr>
              <w:t>3</w:t>
            </w:r>
          </w:p>
        </w:tc>
        <w:tc>
          <w:tcPr>
            <w:tcW w:type="dxa" w:w="2556"/>
            <w:shd w:val="clear" w:fill="FFFFFF"/>
          </w:tcPr>
          <w:p>
            <w:r/>
            <w:r>
              <w:rPr>
                <w:rFonts w:ascii="Calibri" w:hAnsi="Calibri"/>
                <w:b w:val="0"/>
                <w:i w:val="0"/>
                <w:color w:val="4A4A4A"/>
                <w:sz w:val="19"/>
              </w:rPr>
              <w:t>1. Hook: "Who's watching when we walk?"</w:t>
            </w:r>
          </w:p>
        </w:tc>
        <w:tc>
          <w:tcPr>
            <w:tcW w:type="dxa" w:w="2556"/>
            <w:shd w:val="clear" w:fill="FFFFFF"/>
          </w:tcPr>
          <w:p>
            <w:r/>
            <w:r>
              <w:rPr>
                <w:rFonts w:ascii="Calibri" w:hAnsi="Calibri"/>
                <w:b w:val="0"/>
                <w:i w:val="0"/>
                <w:color w:val="4A4A4A"/>
                <w:sz w:val="19"/>
              </w:rPr>
              <w:t>Ask: "When we leave this room and walk down the hallway, who sees us?" Take responses. Surface: other classes, the principal, visitors, families.  Land: "The hallway is where the whole school sees what we believe. We don't get to undo what we show out there."</w:t>
            </w:r>
          </w:p>
        </w:tc>
      </w:tr>
      <w:tr>
        <w:tc>
          <w:tcPr>
            <w:tcW w:type="dxa" w:w="2556"/>
            <w:shd w:val="clear" w:fill="F6F6F4"/>
          </w:tcPr>
          <w:p>
            <w:r/>
            <w:r>
              <w:rPr>
                <w:rFonts w:ascii="Calibri" w:hAnsi="Calibri"/>
                <w:b w:val="0"/>
                <w:i w:val="0"/>
                <w:color w:val="4A4A4A"/>
                <w:sz w:val="19"/>
              </w:rPr>
              <w:t>0:03–0:08</w:t>
            </w:r>
          </w:p>
        </w:tc>
        <w:tc>
          <w:tcPr>
            <w:tcW w:type="dxa" w:w="2556"/>
            <w:shd w:val="clear" w:fill="F6F6F4"/>
          </w:tcPr>
          <w:p>
            <w:r/>
            <w:r>
              <w:rPr>
                <w:rFonts w:ascii="Calibri" w:hAnsi="Calibri"/>
                <w:b w:val="0"/>
                <w:i w:val="0"/>
                <w:color w:val="4A4A4A"/>
                <w:sz w:val="19"/>
              </w:rPr>
              <w:t>5</w:t>
            </w:r>
          </w:p>
        </w:tc>
        <w:tc>
          <w:tcPr>
            <w:tcW w:type="dxa" w:w="2556"/>
            <w:shd w:val="clear" w:fill="F6F6F4"/>
          </w:tcPr>
          <w:p>
            <w:r/>
            <w:r>
              <w:rPr>
                <w:rFonts w:ascii="Calibri" w:hAnsi="Calibri"/>
                <w:b w:val="0"/>
                <w:i w:val="0"/>
                <w:color w:val="4A4A4A"/>
                <w:sz w:val="19"/>
              </w:rPr>
              <w:t>2. Teach the four moves</w:t>
            </w:r>
          </w:p>
        </w:tc>
        <w:tc>
          <w:tcPr>
            <w:tcW w:type="dxa" w:w="2556"/>
            <w:shd w:val="clear" w:fill="F6F6F4"/>
          </w:tcPr>
          <w:p>
            <w:r/>
            <w:r>
              <w:rPr>
                <w:rFonts w:ascii="Calibri" w:hAnsi="Calibri"/>
                <w:b w:val="0"/>
                <w:i w:val="0"/>
                <w:color w:val="4A4A4A"/>
                <w:sz w:val="19"/>
              </w:rPr>
              <w:t>Demonstrate each one. Walk a 10-step section of hallway yourself, showing each move. Then have one student walk it.</w:t>
            </w:r>
          </w:p>
        </w:tc>
      </w:tr>
      <w:tr>
        <w:tc>
          <w:tcPr>
            <w:tcW w:type="dxa" w:w="2556"/>
            <w:shd w:val="clear" w:fill="FFFFFF"/>
          </w:tcPr>
          <w:p>
            <w:r/>
            <w:r>
              <w:rPr>
                <w:rFonts w:ascii="Calibri" w:hAnsi="Calibri"/>
                <w:b w:val="0"/>
                <w:i w:val="0"/>
                <w:color w:val="4A4A4A"/>
                <w:sz w:val="19"/>
              </w:rPr>
              <w:t>0:08–0:16</w:t>
            </w:r>
          </w:p>
        </w:tc>
        <w:tc>
          <w:tcPr>
            <w:tcW w:type="dxa" w:w="2556"/>
            <w:shd w:val="clear" w:fill="FFFFFF"/>
          </w:tcPr>
          <w:p>
            <w:r/>
            <w:r>
              <w:rPr>
                <w:rFonts w:ascii="Calibri" w:hAnsi="Calibri"/>
                <w:b w:val="0"/>
                <w:i w:val="0"/>
                <w:color w:val="4A4A4A"/>
                <w:sz w:val="19"/>
              </w:rPr>
              <w:t>8</w:t>
            </w:r>
          </w:p>
        </w:tc>
        <w:tc>
          <w:tcPr>
            <w:tcW w:type="dxa" w:w="2556"/>
            <w:shd w:val="clear" w:fill="FFFFFF"/>
          </w:tcPr>
          <w:p>
            <w:r/>
            <w:r>
              <w:rPr>
                <w:rFonts w:ascii="Calibri" w:hAnsi="Calibri"/>
                <w:b w:val="0"/>
                <w:i w:val="0"/>
                <w:color w:val="4A4A4A"/>
                <w:sz w:val="19"/>
              </w:rPr>
              <w:t>3. Walk the hallway as a class</w:t>
            </w:r>
          </w:p>
        </w:tc>
        <w:tc>
          <w:tcPr>
            <w:tcW w:type="dxa" w:w="2556"/>
            <w:shd w:val="clear" w:fill="FFFFFF"/>
          </w:tcPr>
          <w:p>
            <w:r/>
            <w:r>
              <w:rPr>
                <w:rFonts w:ascii="Calibri" w:hAnsi="Calibri"/>
                <w:b w:val="0"/>
                <w:i w:val="0"/>
                <w:color w:val="4A4A4A"/>
                <w:sz w:val="19"/>
              </w:rPr>
              <w:t>This is the lesson. Line students up. Travel a stretch of hallway - to the next room, to the bathroom, around the building.  - Walk 10 steps. Stop. "Check yourself. Single line? Right side? Voice 0? Eyes forward?" - Walk 10 more. Stop. Check again. - If it slips, do not lecture. Just: "Reset. Back to the start of this stretch." Walk it again.  End on a clean walk. Get back to the room.</w:t>
            </w:r>
          </w:p>
        </w:tc>
      </w:tr>
      <w:tr>
        <w:tc>
          <w:tcPr>
            <w:tcW w:type="dxa" w:w="2556"/>
            <w:shd w:val="clear" w:fill="F6F6F4"/>
          </w:tcPr>
          <w:p>
            <w:r/>
            <w:r>
              <w:rPr>
                <w:rFonts w:ascii="Calibri" w:hAnsi="Calibri"/>
                <w:b w:val="0"/>
                <w:i w:val="0"/>
                <w:color w:val="4A4A4A"/>
                <w:sz w:val="19"/>
              </w:rPr>
              <w:t>0:16–0:18</w:t>
            </w:r>
          </w:p>
        </w:tc>
        <w:tc>
          <w:tcPr>
            <w:tcW w:type="dxa" w:w="2556"/>
            <w:shd w:val="clear" w:fill="F6F6F4"/>
          </w:tcPr>
          <w:p>
            <w:r/>
            <w:r>
              <w:rPr>
                <w:rFonts w:ascii="Calibri" w:hAnsi="Calibri"/>
                <w:b w:val="0"/>
                <w:i w:val="0"/>
                <w:color w:val="4A4A4A"/>
                <w:sz w:val="19"/>
              </w:rPr>
              <w:t>2</w:t>
            </w:r>
          </w:p>
        </w:tc>
        <w:tc>
          <w:tcPr>
            <w:tcW w:type="dxa" w:w="2556"/>
            <w:shd w:val="clear" w:fill="F6F6F4"/>
          </w:tcPr>
          <w:p>
            <w:r/>
            <w:r>
              <w:rPr>
                <w:rFonts w:ascii="Calibri" w:hAnsi="Calibri"/>
                <w:b w:val="0"/>
                <w:i w:val="0"/>
                <w:color w:val="4A4A4A"/>
                <w:sz w:val="19"/>
              </w:rPr>
              <w:t>4. Why hallway matters</w:t>
            </w:r>
          </w:p>
        </w:tc>
        <w:tc>
          <w:tcPr>
            <w:tcW w:type="dxa" w:w="2556"/>
            <w:shd w:val="clear" w:fill="F6F6F4"/>
          </w:tcPr>
          <w:p>
            <w:r/>
            <w:r>
              <w:rPr>
                <w:rFonts w:ascii="Calibri" w:hAnsi="Calibri"/>
                <w:b w:val="0"/>
                <w:i w:val="0"/>
                <w:color w:val="4A4A4A"/>
                <w:sz w:val="19"/>
              </w:rPr>
              <w:t>Tell students: "There are 14 other classes in this building. When we walk loud, we interrupt their learning. When we walk clean, we show them what's possible. The hallway is where we are most a community - even when we are not talking."</w:t>
            </w:r>
          </w:p>
        </w:tc>
      </w:tr>
      <w:tr>
        <w:tc>
          <w:tcPr>
            <w:tcW w:type="dxa" w:w="2556"/>
            <w:shd w:val="clear" w:fill="FFFFFF"/>
          </w:tcPr>
          <w:p>
            <w:r/>
            <w:r>
              <w:rPr>
                <w:rFonts w:ascii="Calibri" w:hAnsi="Calibri"/>
                <w:b w:val="0"/>
                <w:i w:val="0"/>
                <w:color w:val="4A4A4A"/>
                <w:sz w:val="19"/>
              </w:rPr>
              <w:t>0:18–0:20</w:t>
            </w:r>
          </w:p>
        </w:tc>
        <w:tc>
          <w:tcPr>
            <w:tcW w:type="dxa" w:w="2556"/>
            <w:shd w:val="clear" w:fill="FFFFFF"/>
          </w:tcPr>
          <w:p>
            <w:r/>
            <w:r>
              <w:rPr>
                <w:rFonts w:ascii="Calibri" w:hAnsi="Calibri"/>
                <w:b w:val="0"/>
                <w:i w:val="0"/>
                <w:color w:val="4A4A4A"/>
                <w:sz w:val="19"/>
              </w:rPr>
              <w:t>2</w:t>
            </w:r>
          </w:p>
        </w:tc>
        <w:tc>
          <w:tcPr>
            <w:tcW w:type="dxa" w:w="2556"/>
            <w:shd w:val="clear" w:fill="FFFFFF"/>
          </w:tcPr>
          <w:p>
            <w:r/>
            <w:r>
              <w:rPr>
                <w:rFonts w:ascii="Calibri" w:hAnsi="Calibri"/>
                <w:b w:val="0"/>
                <w:i w:val="0"/>
                <w:color w:val="4A4A4A"/>
                <w:sz w:val="19"/>
              </w:rPr>
              <w:t>5. Reflect and commit</w:t>
            </w:r>
          </w:p>
        </w:tc>
        <w:tc>
          <w:tcPr>
            <w:tcW w:type="dxa" w:w="2556"/>
            <w:shd w:val="clear" w:fill="FFFFFF"/>
          </w:tcPr>
          <w:p>
            <w:r/>
            <w:r>
              <w:rPr>
                <w:rFonts w:ascii="Calibri" w:hAnsi="Calibri"/>
                <w:b w:val="0"/>
                <w:i w:val="0"/>
                <w:color w:val="4A4A4A"/>
                <w:sz w:val="19"/>
              </w:rPr>
              <w:t>Ask: "Which move will be hardest for you? Voice 0? Eyes forward? Single line?" Take 2 honest answers. Don't try to fix them - just hear them.</w:t>
            </w:r>
          </w:p>
        </w:tc>
      </w:tr>
    </w:tbl>
    <w:p/>
    <w:p>
      <w:r>
        <w:rPr>
          <w:rFonts w:ascii="Arial Narrow" w:hAnsi="Arial Narrow"/>
          <w:b/>
          <w:i w:val="0"/>
          <w:color w:val="E21C24"/>
          <w:sz w:val="26"/>
        </w:rPr>
        <w:t>TEACHER LANGUAGE</w:t>
      </w:r>
    </w:p>
    <w:p>
      <w:pPr>
        <w:pStyle w:val="ListBullet"/>
      </w:pPr>
      <w:r>
        <w:rPr>
          <w:rFonts w:ascii="Calibri" w:hAnsi="Calibri"/>
          <w:b w:val="0"/>
          <w:i w:val="0"/>
          <w:color w:val="4A4A4A"/>
          <w:sz w:val="22"/>
        </w:rPr>
        <w:t>"Show me what Safe looks like here."</w:t>
      </w:r>
    </w:p>
    <w:p>
      <w:pPr>
        <w:pStyle w:val="ListBullet"/>
      </w:pPr>
      <w:r>
        <w:rPr>
          <w:rFonts w:ascii="Calibri" w:hAnsi="Calibri"/>
          <w:b w:val="0"/>
          <w:i w:val="0"/>
          <w:color w:val="4A4A4A"/>
          <w:sz w:val="22"/>
        </w:rPr>
        <w:t>"Let's make Respectful observable."</w:t>
      </w:r>
    </w:p>
    <w:p>
      <w:pPr>
        <w:pStyle w:val="ListBullet"/>
      </w:pPr>
      <w:r>
        <w:rPr>
          <w:rFonts w:ascii="Calibri" w:hAnsi="Calibri"/>
          <w:b w:val="0"/>
          <w:i w:val="0"/>
          <w:color w:val="4A4A4A"/>
          <w:sz w:val="22"/>
        </w:rPr>
        <w:t>"Responsible means we know the next move and do it without waiting for repeated reminders."</w:t>
      </w:r>
    </w:p>
    <w:p>
      <w:pPr>
        <w:pStyle w:val="ListBullet"/>
      </w:pPr>
      <w:r>
        <w:rPr>
          <w:rFonts w:ascii="Calibri" w:hAnsi="Calibri"/>
          <w:b w:val="0"/>
          <w:i w:val="0"/>
          <w:color w:val="4A4A4A"/>
          <w:sz w:val="22"/>
        </w:rPr>
        <w:t>"Reset. Walk it again."</w:t>
      </w:r>
    </w:p>
    <w:p>
      <w:r>
        <w:rPr>
          <w:rFonts w:ascii="Arial Narrow" w:hAnsi="Arial Narrow"/>
          <w:b/>
          <w:i w:val="0"/>
          <w:color w:val="E21C24"/>
          <w:sz w:val="26"/>
        </w:rPr>
        <w:t>CHECKS FOR UNDERSTANDING</w:t>
      </w:r>
    </w:p>
    <w:p>
      <w:pPr>
        <w:pStyle w:val="ListBullet"/>
      </w:pPr>
      <w:r>
        <w:rPr>
          <w:rFonts w:ascii="Calibri" w:hAnsi="Calibri"/>
          <w:b w:val="0"/>
          <w:i w:val="0"/>
          <w:color w:val="4A4A4A"/>
          <w:sz w:val="22"/>
        </w:rPr>
        <w:t>Students can name the move or routine.</w:t>
      </w:r>
    </w:p>
    <w:p>
      <w:pPr>
        <w:pStyle w:val="ListBullet"/>
      </w:pPr>
      <w:r>
        <w:rPr>
          <w:rFonts w:ascii="Calibri" w:hAnsi="Calibri"/>
          <w:b w:val="0"/>
          <w:i w:val="0"/>
          <w:color w:val="4A4A4A"/>
          <w:sz w:val="22"/>
        </w:rPr>
        <w:t>Students can show it with their bodies, words, or materials.</w:t>
      </w:r>
    </w:p>
    <w:p>
      <w:pPr>
        <w:pStyle w:val="ListBullet"/>
      </w:pPr>
      <w:r>
        <w:rPr>
          <w:rFonts w:ascii="Calibri" w:hAnsi="Calibri"/>
          <w:b w:val="0"/>
          <w:i w:val="0"/>
          <w:color w:val="4A4A4A"/>
          <w:sz w:val="22"/>
        </w:rPr>
        <w:t>Students can explain how it supports Safe, Respectful, or Responsible.</w:t>
      </w:r>
    </w:p>
    <w:p>
      <w:pPr>
        <w:pStyle w:val="ListBullet"/>
      </w:pPr>
      <w:r>
        <w:rPr>
          <w:rFonts w:ascii="Calibri" w:hAnsi="Calibri"/>
          <w:b w:val="0"/>
          <w:i w:val="0"/>
          <w:color w:val="4A4A4A"/>
          <w:sz w:val="22"/>
        </w:rPr>
        <w:t>Students can accept correction and re-practice immediately.</w:t>
      </w:r>
    </w:p>
    <w:p>
      <w:r>
        <w:rPr>
          <w:rFonts w:ascii="Arial Narrow" w:hAnsi="Arial Narrow"/>
          <w:b/>
          <w:i w:val="0"/>
          <w:color w:val="E21C24"/>
          <w:sz w:val="26"/>
        </w:rPr>
        <w:t>KEY POINTS</w:t>
      </w:r>
    </w:p>
    <w:p>
      <w:pPr>
        <w:pStyle w:val="ListBullet"/>
      </w:pPr>
      <w:r>
        <w:rPr>
          <w:rFonts w:ascii="Calibri" w:hAnsi="Calibri"/>
          <w:b w:val="0"/>
          <w:i w:val="0"/>
          <w:color w:val="4A4A4A"/>
          <w:sz w:val="22"/>
        </w:rPr>
        <w:t>Four moves: single line, right side, voice 0, eyes forward.</w:t>
      </w:r>
    </w:p>
    <w:p>
      <w:pPr>
        <w:pStyle w:val="ListBullet"/>
      </w:pPr>
      <w:r>
        <w:rPr>
          <w:rFonts w:ascii="Calibri" w:hAnsi="Calibri"/>
          <w:b w:val="0"/>
          <w:i w:val="0"/>
          <w:color w:val="4A4A4A"/>
          <w:sz w:val="22"/>
        </w:rPr>
        <w:t>The hallway is the school's stage. The whole building sees you.</w:t>
      </w:r>
    </w:p>
    <w:p>
      <w:pPr>
        <w:pStyle w:val="ListBullet"/>
      </w:pPr>
      <w:r>
        <w:rPr>
          <w:rFonts w:ascii="Calibri" w:hAnsi="Calibri"/>
          <w:b w:val="0"/>
          <w:i w:val="0"/>
          <w:color w:val="4A4A4A"/>
          <w:sz w:val="22"/>
        </w:rPr>
        <w:t>Eyes forward is the hardest one. Practice it.</w:t>
      </w:r>
    </w:p>
    <w:p>
      <w:pPr>
        <w:pStyle w:val="ListBullet"/>
      </w:pPr>
      <w:r>
        <w:rPr>
          <w:rFonts w:ascii="Calibri" w:hAnsi="Calibri"/>
          <w:b w:val="0"/>
          <w:i w:val="0"/>
          <w:color w:val="4A4A4A"/>
          <w:sz w:val="22"/>
        </w:rPr>
        <w:t>We do not get to undo what we show in the hallway. Walk like you mean it.</w:t>
      </w:r>
    </w:p>
    <w:p>
      <w:r>
        <w:rPr>
          <w:rFonts w:ascii="Arial Narrow" w:hAnsi="Arial Narrow"/>
          <w:b/>
          <w:i w:val="0"/>
          <w:color w:val="E21C24"/>
          <w:sz w:val="26"/>
        </w:rPr>
        <w:t>GRADE-BAND ADAPTATIONS</w:t>
      </w:r>
    </w:p>
    <w:tbl>
      <w:tblPr>
        <w:tblStyle w:val="TableGrid"/>
        <w:tblW w:type="auto" w:w="0"/>
        <w:tblLook w:firstColumn="1" w:firstRow="1" w:lastColumn="0" w:lastRow="0" w:noHBand="0" w:noVBand="1" w:val="04A0"/>
      </w:tblPr>
      <w:tblGrid>
        <w:gridCol w:w="5112"/>
        <w:gridCol w:w="5112"/>
      </w:tblGrid>
      <w:tr>
        <w:tc>
          <w:tcPr>
            <w:tcW w:type="dxa" w:w="5112"/>
            <w:shd w:val="clear" w:fill="1A1A1A"/>
          </w:tcPr>
          <w:p>
            <w:r/>
            <w:r>
              <w:rPr>
                <w:rFonts w:ascii="Calibri" w:hAnsi="Calibri"/>
                <w:b/>
                <w:i w:val="0"/>
                <w:color w:val="FFFFFF"/>
                <w:sz w:val="19"/>
              </w:rPr>
              <w:t>Grade band</w:t>
            </w:r>
          </w:p>
        </w:tc>
        <w:tc>
          <w:tcPr>
            <w:tcW w:type="dxa" w:w="5112"/>
            <w:shd w:val="clear" w:fill="1A1A1A"/>
          </w:tcPr>
          <w:p>
            <w:r/>
            <w:r>
              <w:rPr>
                <w:rFonts w:ascii="Calibri" w:hAnsi="Calibri"/>
                <w:b/>
                <w:i w:val="0"/>
                <w:color w:val="FFFFFF"/>
                <w:sz w:val="19"/>
              </w:rPr>
              <w:t>Adjustment</w:t>
            </w:r>
          </w:p>
        </w:tc>
      </w:tr>
      <w:tr>
        <w:tc>
          <w:tcPr>
            <w:tcW w:type="dxa" w:w="5112"/>
            <w:shd w:val="clear" w:fill="FFFFFF"/>
          </w:tcPr>
          <w:p>
            <w:r/>
            <w:r>
              <w:rPr>
                <w:rFonts w:ascii="Calibri" w:hAnsi="Calibri"/>
                <w:b w:val="0"/>
                <w:i w:val="0"/>
                <w:color w:val="4A4A4A"/>
                <w:sz w:val="19"/>
              </w:rPr>
              <w:t>K-2</w:t>
            </w:r>
          </w:p>
        </w:tc>
        <w:tc>
          <w:tcPr>
            <w:tcW w:type="dxa" w:w="5112"/>
            <w:shd w:val="clear" w:fill="FFFFFF"/>
          </w:tcPr>
          <w:p>
            <w:r/>
            <w:r>
              <w:rPr>
                <w:rFonts w:ascii="Calibri" w:hAnsi="Calibri"/>
                <w:b w:val="0"/>
                <w:i w:val="0"/>
                <w:color w:val="4A4A4A"/>
                <w:sz w:val="19"/>
              </w:rPr>
              <w:t>Replace "single line" with "behind your line buddy." Use a tactile cue - hand on the shoulder of the student in front, hand at side after a few steps. Run the walk in shorter stretches (5 steps, not 10). Sing a hallway song at level 0 (mouths closed but humming in heads).</w:t>
            </w:r>
          </w:p>
        </w:tc>
      </w:tr>
      <w:tr>
        <w:tc>
          <w:tcPr>
            <w:tcW w:type="dxa" w:w="5112"/>
            <w:shd w:val="clear" w:fill="F6F6F4"/>
          </w:tcPr>
          <w:p>
            <w:r/>
            <w:r>
              <w:rPr>
                <w:rFonts w:ascii="Calibri" w:hAnsi="Calibri"/>
                <w:b w:val="0"/>
                <w:i w:val="0"/>
                <w:color w:val="4A4A4A"/>
                <w:sz w:val="19"/>
              </w:rPr>
              <w:t>3-5</w:t>
            </w:r>
          </w:p>
        </w:tc>
        <w:tc>
          <w:tcPr>
            <w:tcW w:type="dxa" w:w="5112"/>
            <w:shd w:val="clear" w:fill="F6F6F4"/>
          </w:tcPr>
          <w:p>
            <w:r/>
            <w:r>
              <w:rPr>
                <w:rFonts w:ascii="Calibri" w:hAnsi="Calibri"/>
                <w:b w:val="0"/>
                <w:i w:val="0"/>
                <w:color w:val="4A4A4A"/>
                <w:sz w:val="19"/>
              </w:rPr>
              <w:t>Run as written. Add: "By Friday, you'll know without me telling you when to be at level 0 in the hallway."</w:t>
            </w:r>
          </w:p>
        </w:tc>
      </w:tr>
      <w:tr>
        <w:tc>
          <w:tcPr>
            <w:tcW w:type="dxa" w:w="5112"/>
            <w:shd w:val="clear" w:fill="FFFFFF"/>
          </w:tcPr>
          <w:p>
            <w:r/>
            <w:r>
              <w:rPr>
                <w:rFonts w:ascii="Calibri" w:hAnsi="Calibri"/>
                <w:b w:val="0"/>
                <w:i w:val="0"/>
                <w:color w:val="4A4A4A"/>
                <w:sz w:val="19"/>
              </w:rPr>
              <w:t>6-8</w:t>
            </w:r>
          </w:p>
        </w:tc>
        <w:tc>
          <w:tcPr>
            <w:tcW w:type="dxa" w:w="5112"/>
            <w:shd w:val="clear" w:fill="FFFFFF"/>
          </w:tcPr>
          <w:p>
            <w:r/>
            <w:r>
              <w:rPr>
                <w:rFonts w:ascii="Calibri" w:hAnsi="Calibri"/>
                <w:b w:val="0"/>
                <w:i w:val="0"/>
                <w:color w:val="4A4A4A"/>
                <w:sz w:val="19"/>
              </w:rPr>
              <w:t>Skip the demonstration of student walking - too performative. Instead, walk the class through it as a group, with you at the front modeling. Add: "Other teachers are watching how you move through their hallway. You are representing me when I'm not there." Connect to ownership.</w:t>
            </w:r>
          </w:p>
        </w:tc>
      </w:tr>
    </w:tbl>
    <w:p/>
    <w:p>
      <w:r>
        <w:rPr>
          <w:rFonts w:ascii="Arial Narrow" w:hAnsi="Arial Narrow"/>
          <w:b/>
          <w:i w:val="0"/>
          <w:color w:val="E21C24"/>
          <w:sz w:val="26"/>
        </w:rPr>
        <w:t>AFTER THE LESSON</w:t>
      </w:r>
    </w:p>
    <w:p>
      <w:r>
        <w:rPr>
          <w:rFonts w:ascii="Calibri" w:hAnsi="Calibri"/>
          <w:b w:val="0"/>
          <w:i w:val="0"/>
          <w:color w:val="4A4A4A"/>
          <w:sz w:val="22"/>
        </w:rPr>
        <w:t>The hallway routine runs every transition, every day. The first 30 days, you walk every transition with the class - even if it slows you down. After 30 days, students should be able to travel solo to a destination (bathroom, office) holding the four moves. Teachers: when the routine slips in the hallway, do not yell. Stop the class. Reset. Walk it again. Yelling in the hallway tells other classes that hallway behavior is up for negotiation. Reset language tells them it isn't.</w:t>
      </w:r>
    </w:p>
    <w:p>
      <w:r>
        <w:rPr>
          <w:rFonts w:ascii="Arial Narrow" w:hAnsi="Arial Narrow"/>
          <w:b/>
          <w:i w:val="0"/>
          <w:color w:val="E21C24"/>
          <w:sz w:val="32"/>
        </w:rPr>
        <w:t>COACHING SUPPORTS — ALIGNED TO STAFF SESSION 1 (CAR)</w:t>
      </w:r>
    </w:p>
    <w:p>
      <w:r>
        <w:rPr>
          <w:rFonts w:ascii="Calibri" w:hAnsi="Calibri"/>
          <w:b w:val="0"/>
          <w:i w:val="0"/>
          <w:color w:val="4A4A4A"/>
          <w:sz w:val="22"/>
        </w:rPr>
        <w:t>This student lesson is the practice ground for the adult moves trained in Staff Session 1. When this routine breaks, the adult chooses one responsive move, says it in ten words or fewer, and names the route back to learning.</w:t>
      </w:r>
    </w:p>
    <w:p>
      <w:r>
        <w:rPr>
          <w:rFonts w:ascii="Calibri" w:hAnsi="Calibri"/>
          <w:b/>
          <w:i/>
          <w:color w:val="1A1A1A"/>
          <w:sz w:val="22"/>
        </w:rPr>
        <w:t>CAR is not a label for the student. CAR is a decision point for the adult.</w:t>
      </w:r>
    </w:p>
    <w:tbl>
      <w:tblPr>
        <w:tblStyle w:val="TableGrid"/>
        <w:tblW w:type="auto" w:w="0"/>
        <w:tblLook w:firstColumn="1" w:firstRow="1" w:lastColumn="0" w:lastRow="0" w:noHBand="0" w:noVBand="1" w:val="04A0"/>
      </w:tblPr>
      <w:tblGrid>
        <w:gridCol w:w="3408"/>
        <w:gridCol w:w="3408"/>
        <w:gridCol w:w="3408"/>
      </w:tblGrid>
      <w:tr>
        <w:tc>
          <w:tcPr>
            <w:tcW w:type="dxa" w:w="3408"/>
            <w:shd w:val="clear" w:fill="1A1A1A"/>
          </w:tcPr>
          <w:p>
            <w:r/>
            <w:r>
              <w:rPr>
                <w:rFonts w:ascii="Calibri" w:hAnsi="Calibri"/>
                <w:b/>
                <w:i w:val="0"/>
                <w:color w:val="FFFFFF"/>
                <w:sz w:val="19"/>
              </w:rPr>
              <w:t>Move</w:t>
            </w:r>
          </w:p>
        </w:tc>
        <w:tc>
          <w:tcPr>
            <w:tcW w:type="dxa" w:w="3408"/>
            <w:shd w:val="clear" w:fill="1A1A1A"/>
          </w:tcPr>
          <w:p>
            <w:r/>
            <w:r>
              <w:rPr>
                <w:rFonts w:ascii="Calibri" w:hAnsi="Calibri"/>
                <w:b/>
                <w:i w:val="0"/>
                <w:color w:val="FFFFFF"/>
                <w:sz w:val="19"/>
              </w:rPr>
              <w:t>Adult asks</w:t>
            </w:r>
          </w:p>
        </w:tc>
        <w:tc>
          <w:tcPr>
            <w:tcW w:type="dxa" w:w="3408"/>
            <w:shd w:val="clear" w:fill="1A1A1A"/>
          </w:tcPr>
          <w:p>
            <w:r/>
            <w:r>
              <w:rPr>
                <w:rFonts w:ascii="Calibri" w:hAnsi="Calibri"/>
                <w:b/>
                <w:i w:val="0"/>
                <w:color w:val="FFFFFF"/>
                <w:sz w:val="19"/>
              </w:rPr>
              <w:t>Adult moves</w:t>
            </w:r>
          </w:p>
        </w:tc>
      </w:tr>
      <w:tr>
        <w:tc>
          <w:tcPr>
            <w:tcW w:type="dxa" w:w="3408"/>
            <w:shd w:val="clear" w:fill="FFFFFF"/>
          </w:tcPr>
          <w:p>
            <w:r/>
            <w:r>
              <w:rPr>
                <w:rFonts w:ascii="Calibri" w:hAnsi="Calibri"/>
                <w:b w:val="0"/>
                <w:i w:val="0"/>
                <w:color w:val="4A4A4A"/>
                <w:sz w:val="19"/>
              </w:rPr>
              <w:t>CLARITY</w:t>
            </w:r>
          </w:p>
        </w:tc>
        <w:tc>
          <w:tcPr>
            <w:tcW w:type="dxa" w:w="3408"/>
            <w:shd w:val="clear" w:fill="FFFFFF"/>
          </w:tcPr>
          <w:p>
            <w:r/>
            <w:r>
              <w:rPr>
                <w:rFonts w:ascii="Calibri" w:hAnsi="Calibri"/>
                <w:b w:val="0"/>
                <w:i w:val="0"/>
                <w:color w:val="4A4A4A"/>
                <w:sz w:val="19"/>
              </w:rPr>
              <w:t>Make the next step visible.</w:t>
            </w:r>
          </w:p>
        </w:tc>
        <w:tc>
          <w:tcPr>
            <w:tcW w:type="dxa" w:w="3408"/>
            <w:shd w:val="clear" w:fill="FFFFFF"/>
          </w:tcPr>
          <w:p>
            <w:r/>
            <w:r>
              <w:rPr>
                <w:rFonts w:ascii="Calibri" w:hAnsi="Calibri"/>
                <w:b w:val="0"/>
                <w:i w:val="0"/>
                <w:color w:val="4A4A4A"/>
                <w:sz w:val="19"/>
              </w:rPr>
              <w:t>restate, model, cue, point to a visual, rehearse, give one observable next step</w:t>
            </w:r>
          </w:p>
        </w:tc>
      </w:tr>
      <w:tr>
        <w:tc>
          <w:tcPr>
            <w:tcW w:type="dxa" w:w="3408"/>
            <w:shd w:val="clear" w:fill="F6F6F4"/>
          </w:tcPr>
          <w:p>
            <w:r/>
            <w:r>
              <w:rPr>
                <w:rFonts w:ascii="Calibri" w:hAnsi="Calibri"/>
                <w:b w:val="0"/>
                <w:i w:val="0"/>
                <w:color w:val="4A4A4A"/>
                <w:sz w:val="19"/>
              </w:rPr>
              <w:t>ACCESS</w:t>
            </w:r>
          </w:p>
        </w:tc>
        <w:tc>
          <w:tcPr>
            <w:tcW w:type="dxa" w:w="3408"/>
            <w:shd w:val="clear" w:fill="F6F6F4"/>
          </w:tcPr>
          <w:p>
            <w:r/>
            <w:r>
              <w:rPr>
                <w:rFonts w:ascii="Calibri" w:hAnsi="Calibri"/>
                <w:b w:val="0"/>
                <w:i w:val="0"/>
                <w:color w:val="4A4A4A"/>
                <w:sz w:val="19"/>
              </w:rPr>
              <w:t>Open a path to start, continue, or rejoin.</w:t>
            </w:r>
          </w:p>
        </w:tc>
        <w:tc>
          <w:tcPr>
            <w:tcW w:type="dxa" w:w="3408"/>
            <w:shd w:val="clear" w:fill="F6F6F4"/>
          </w:tcPr>
          <w:p>
            <w:r/>
            <w:r>
              <w:rPr>
                <w:rFonts w:ascii="Calibri" w:hAnsi="Calibri"/>
                <w:b w:val="0"/>
                <w:i w:val="0"/>
                <w:color w:val="4A4A4A"/>
                <w:sz w:val="19"/>
              </w:rPr>
              <w:t>scaffold, reduce the entry point, offer two choices, give a role, do the first step together, build a return path</w:t>
            </w:r>
          </w:p>
        </w:tc>
      </w:tr>
      <w:tr>
        <w:tc>
          <w:tcPr>
            <w:tcW w:type="dxa" w:w="3408"/>
            <w:shd w:val="clear" w:fill="FFFFFF"/>
          </w:tcPr>
          <w:p>
            <w:r/>
            <w:r>
              <w:rPr>
                <w:rFonts w:ascii="Calibri" w:hAnsi="Calibri"/>
                <w:b w:val="0"/>
                <w:i w:val="0"/>
                <w:color w:val="4A4A4A"/>
                <w:sz w:val="19"/>
              </w:rPr>
              <w:t>REGULATION</w:t>
            </w:r>
          </w:p>
        </w:tc>
        <w:tc>
          <w:tcPr>
            <w:tcW w:type="dxa" w:w="3408"/>
            <w:shd w:val="clear" w:fill="FFFFFF"/>
          </w:tcPr>
          <w:p>
            <w:r/>
            <w:r>
              <w:rPr>
                <w:rFonts w:ascii="Calibri" w:hAnsi="Calibri"/>
                <w:b w:val="0"/>
                <w:i w:val="0"/>
                <w:color w:val="4A4A4A"/>
                <w:sz w:val="19"/>
              </w:rPr>
              <w:t>Lower the pressure before problem-solving.</w:t>
            </w:r>
          </w:p>
        </w:tc>
        <w:tc>
          <w:tcPr>
            <w:tcW w:type="dxa" w:w="3408"/>
            <w:shd w:val="clear" w:fill="FFFFFF"/>
          </w:tcPr>
          <w:p>
            <w:r/>
            <w:r>
              <w:rPr>
                <w:rFonts w:ascii="Calibri" w:hAnsi="Calibri"/>
                <w:b w:val="0"/>
                <w:i w:val="0"/>
                <w:color w:val="4A4A4A"/>
                <w:sz w:val="19"/>
              </w:rPr>
              <w:t>reduce words, reduce audience, offer a reset, give time/space, two safe choices, problem-solve later</w:t>
            </w:r>
          </w:p>
        </w:tc>
      </w:tr>
    </w:tbl>
    <w:p/>
    <w:p>
      <w:r>
        <w:rPr>
          <w:rFonts w:ascii="Arial Narrow" w:hAnsi="Arial Narrow"/>
          <w:b/>
          <w:i w:val="0"/>
          <w:color w:val="1A1A1A"/>
          <w:sz w:val="25"/>
        </w:rPr>
        <w:t>ADULT RESPONSIVE DECISION SEQUENCE</w:t>
      </w:r>
    </w:p>
    <w:p>
      <w:pPr>
        <w:pStyle w:val="ListNumber"/>
      </w:pPr>
      <w:r>
        <w:rPr>
          <w:rFonts w:ascii="Calibri" w:hAnsi="Calibri"/>
          <w:b w:val="0"/>
          <w:i w:val="0"/>
          <w:color w:val="4A4A4A"/>
          <w:sz w:val="21"/>
        </w:rPr>
        <w:t>What happened? (low-inference observation only)</w:t>
      </w:r>
    </w:p>
    <w:p>
      <w:pPr>
        <w:pStyle w:val="ListNumber"/>
      </w:pPr>
      <w:r>
        <w:rPr>
          <w:rFonts w:ascii="Calibri" w:hAnsi="Calibri"/>
          <w:b w:val="0"/>
          <w:i w:val="0"/>
          <w:color w:val="4A4A4A"/>
          <w:sz w:val="21"/>
        </w:rPr>
        <w:t>Which expectation is connected? (Safe, Respectful, Responsible)</w:t>
      </w:r>
    </w:p>
    <w:p>
      <w:pPr>
        <w:pStyle w:val="ListNumber"/>
      </w:pPr>
      <w:r>
        <w:rPr>
          <w:rFonts w:ascii="Calibri" w:hAnsi="Calibri"/>
          <w:b w:val="0"/>
          <w:i w:val="0"/>
          <w:color w:val="4A4A4A"/>
          <w:sz w:val="21"/>
        </w:rPr>
        <w:t>Which responsive move fits? (Clarity, Access, Regulation)</w:t>
      </w:r>
    </w:p>
    <w:p>
      <w:pPr>
        <w:pStyle w:val="ListNumber"/>
      </w:pPr>
      <w:r>
        <w:rPr>
          <w:rFonts w:ascii="Calibri" w:hAnsi="Calibri"/>
          <w:b w:val="0"/>
          <w:i w:val="0"/>
          <w:color w:val="4A4A4A"/>
          <w:sz w:val="21"/>
        </w:rPr>
        <w:t>What is the lowest effective adult move?</w:t>
      </w:r>
    </w:p>
    <w:p>
      <w:pPr>
        <w:pStyle w:val="ListNumber"/>
      </w:pPr>
      <w:r>
        <w:rPr>
          <w:rFonts w:ascii="Calibri" w:hAnsi="Calibri"/>
          <w:b w:val="0"/>
          <w:i w:val="0"/>
          <w:color w:val="4A4A4A"/>
          <w:sz w:val="21"/>
        </w:rPr>
        <w:t>What is the 10-word adult script?</w:t>
      </w:r>
    </w:p>
    <w:p>
      <w:pPr>
        <w:pStyle w:val="ListNumber"/>
      </w:pPr>
      <w:r>
        <w:rPr>
          <w:rFonts w:ascii="Calibri" w:hAnsi="Calibri"/>
          <w:b w:val="0"/>
          <w:i w:val="0"/>
          <w:color w:val="4A4A4A"/>
          <w:sz w:val="21"/>
        </w:rPr>
        <w:t>What wrong turn am I avoiding?</w:t>
      </w:r>
    </w:p>
    <w:p>
      <w:pPr>
        <w:pStyle w:val="ListNumber"/>
      </w:pPr>
      <w:r>
        <w:rPr>
          <w:rFonts w:ascii="Calibri" w:hAnsi="Calibri"/>
          <w:b w:val="0"/>
          <w:i w:val="0"/>
          <w:color w:val="4A4A4A"/>
          <w:sz w:val="21"/>
        </w:rPr>
        <w:t>What is the route back to learning?</w:t>
      </w:r>
    </w:p>
    <w:p>
      <w:pPr>
        <w:pStyle w:val="ListNumber"/>
      </w:pPr>
      <w:r>
        <w:rPr>
          <w:rFonts w:ascii="Calibri" w:hAnsi="Calibri"/>
          <w:b w:val="0"/>
          <w:i w:val="0"/>
          <w:color w:val="4A4A4A"/>
          <w:sz w:val="21"/>
        </w:rPr>
        <w:t>What evidence will I recognize when the student returns?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