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" w:hAnsi="Aptos"/>
          <w:b/>
          <w:color w:val="1C2D3D"/>
          <w:sz w:val="68"/>
        </w:rPr>
        <w:t>CarPal</w:t>
      </w:r>
      <w:r>
        <w:rPr>
          <w:rFonts w:ascii="Aptos" w:hAnsi="Aptos"/>
          <w:color w:val="4E5F6D"/>
          <w:sz w:val="32"/>
        </w:rPr>
        <w:br/>
        <w:t>Your Personal AI Car Companion</w:t>
      </w:r>
    </w:p>
    <w:p>
      <w:pPr>
        <w:pStyle w:val="Title"/>
      </w:pPr>
      <w:r>
        <w:rPr>
          <w:rFonts w:ascii="Aptos" w:hAnsi="Aptos"/>
          <w:b/>
          <w:color w:val="1C2D3D"/>
          <w:sz w:val="50"/>
        </w:rPr>
        <w:t>MVP Business Requirements Document</w:t>
      </w:r>
    </w:p>
    <w:p>
      <w:pPr>
        <w:pStyle w:val="Subtitle2"/>
      </w:pPr>
      <w:r>
        <w:rPr>
          <w:i/>
        </w:rPr>
        <w:t>OBD-II Quick Scan and Health Scan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rHeight w:hRule="atLeast"/>
        </w:trPr>
        <w:tc>
          <w:tcPr>
            <w:tcW w:type="dxa" w:w="5040"/>
            <w:shd w:fill="E9EEF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32495C"/>
                <w:sz w:val="20"/>
              </w:rPr>
              <w:t>Product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20"/>
              </w:rPr>
              <w:t>CarPal – Your Personal AI Car Companion</w:t>
            </w:r>
          </w:p>
        </w:tc>
      </w:tr>
      <w:tr>
        <w:trPr>
          <w:trHeight w:hRule="atLeast"/>
        </w:trPr>
        <w:tc>
          <w:tcPr>
            <w:tcW w:type="dxa" w:w="5040"/>
            <w:shd w:fill="E9EEF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32495C"/>
                <w:sz w:val="20"/>
              </w:rPr>
              <w:t>Document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20"/>
              </w:rPr>
              <w:t>Business Requirements Document (BRD)</w:t>
            </w:r>
          </w:p>
        </w:tc>
      </w:tr>
      <w:tr>
        <w:trPr>
          <w:trHeight w:hRule="atLeast"/>
        </w:trPr>
        <w:tc>
          <w:tcPr>
            <w:tcW w:type="dxa" w:w="5040"/>
            <w:shd w:fill="E9EEF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32495C"/>
                <w:sz w:val="20"/>
              </w:rPr>
              <w:t>MVP Scope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20"/>
              </w:rPr>
              <w:t>Quick Scan + Health Scan</w:t>
            </w:r>
          </w:p>
        </w:tc>
      </w:tr>
      <w:tr>
        <w:trPr>
          <w:trHeight w:hRule="atLeast"/>
        </w:trPr>
        <w:tc>
          <w:tcPr>
            <w:tcW w:type="dxa" w:w="5040"/>
            <w:shd w:fill="E9EEF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32495C"/>
                <w:sz w:val="20"/>
              </w:rPr>
              <w:t>Deferred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20"/>
              </w:rPr>
              <w:t>Background Monitor + personalized historical baseline</w:t>
            </w:r>
          </w:p>
        </w:tc>
      </w:tr>
    </w:tbl>
    <w:p>
      <w:pPr>
        <w:spacing w:before="360"/>
      </w:pPr>
      <w:r>
        <w:rPr>
          <w:rFonts w:ascii="Aptos" w:hAnsi="Aptos"/>
          <w:b/>
          <w:color w:val="32495C"/>
          <w:sz w:val="22"/>
        </w:rPr>
        <w:t>Purpose</w:t>
      </w:r>
      <w:r>
        <w:rPr>
          <w:rFonts w:ascii="Aptos" w:hAnsi="Aptos"/>
          <w:sz w:val="21"/>
        </w:rPr>
        <w:br/>
        <w:t>Capture the agreed business requirements for CarPal’s MVP diagnostic experience and establish a clear boundary between the initial release and future continuous-monitoring capabilities.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ptos" w:hAnsi="Aptos"/>
          <w:sz w:val="21"/>
        </w:rPr>
        <w:t xml:space="preserve">CarPal transforms raw OBD-II data into an understandable assessment of a vehicle’s powertrain and emissions-related condition. </w:t>
      </w:r>
      <w:r>
        <w:rPr>
          <w:rFonts w:ascii="Aptos" w:hAnsi="Aptos"/>
          <w:b/>
          <w:sz w:val="21"/>
        </w:rPr>
        <w:t>The MVP will support two user-initiated scan modes: Quick Scan and Health Scan.</w:t>
      </w:r>
      <w:r>
        <w:rPr>
          <w:rFonts w:ascii="Aptos" w:hAnsi="Aptos"/>
          <w:sz w:val="21"/>
        </w:rPr>
        <w:t xml:space="preserve"> A passive Background Monitor is part of the long-term product direction but is intentionally excluded from the MVP because it introduces persistent telemetry storage, background connectivity, long-term aggregation, and personalized baseline requirements.</w:t>
      </w:r>
    </w:p>
    <w:p>
      <w:r>
        <w:rPr>
          <w:rFonts w:ascii="Aptos" w:hAnsi="Aptos"/>
          <w:sz w:val="21"/>
        </w:rPr>
        <w:t>The product should differentiate from traditional OBD dashboards by interpreting multiple signals together, producing diagnostic findings, and explaining why a score or status is changing rather than simply displaying sensor values.</w:t>
      </w:r>
    </w:p>
    <w:p>
      <w:pPr>
        <w:pStyle w:val="Heading2"/>
      </w:pPr>
      <w:r>
        <w:t>1.1 MVP Product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</w:trPr>
        <w:tc>
          <w:tcPr>
            <w:tcW w:type="dxa" w:w="10080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ptos" w:hAnsi="Aptos"/>
                <w:i/>
                <w:color w:val="32495C"/>
                <w:sz w:val="24"/>
              </w:rPr>
              <w:t>“Other OBD apps read your car. CarPal observes and interprets how your car behaves.”</w:t>
            </w:r>
          </w:p>
        </w:tc>
      </w:tr>
    </w:tbl>
    <w:p>
      <w:pPr>
        <w:pStyle w:val="Heading2"/>
      </w:pPr>
      <w:r>
        <w:t>1.2 Score Naming and Scope</w:t>
      </w:r>
    </w:p>
    <w:p>
      <w:r>
        <w:rPr>
          <w:rFonts w:ascii="Aptos" w:hAnsi="Aptos"/>
          <w:sz w:val="21"/>
        </w:rPr>
        <w:t xml:space="preserve">The MVP score should be presented as an </w:t>
      </w:r>
      <w:r>
        <w:rPr>
          <w:rFonts w:ascii="Aptos" w:hAnsi="Aptos"/>
          <w:b/>
          <w:sz w:val="21"/>
        </w:rPr>
        <w:t>OBD Health Score</w:t>
      </w:r>
      <w:r>
        <w:rPr>
          <w:rFonts w:ascii="Aptos" w:hAnsi="Aptos"/>
          <w:sz w:val="21"/>
        </w:rPr>
        <w:t xml:space="preserve"> or </w:t>
      </w:r>
      <w:r>
        <w:rPr>
          <w:rFonts w:ascii="Aptos" w:hAnsi="Aptos"/>
          <w:b/>
          <w:sz w:val="21"/>
        </w:rPr>
        <w:t>Powertrain Health Score</w:t>
      </w:r>
      <w:r>
        <w:rPr>
          <w:rFonts w:ascii="Aptos" w:hAnsi="Aptos"/>
          <w:sz w:val="21"/>
        </w:rPr>
        <w:t>, not a complete “Vehicle Health Score.” Generic OBD-II cannot reliably assess all mechanical systems such as brakes, tires, suspension, body condition, or true component remaining life.</w:t>
      </w:r>
    </w:p>
    <w:p>
      <w:pPr>
        <w:pStyle w:val="Heading1"/>
      </w:pPr>
      <w:r>
        <w:t>2. Business Goals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Give non-mechanic vehicle owners a simple way to understand whether OBD-II data indicates a likely issue.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Move beyond trouble-code lookup by interpreting live signals, ECU self-tests, readiness data, and diagnostic context together.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Provide an explainable 0–100 OBD Health Score for comprehensive Health Scans, paired with a separate Confidence Score.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Support an immediate Quick Scan for users who want a fast diagnostic snapshot without completing a drive.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Build the MVP architecture so a future passive Background Monitor can be added without redesigning the diagnostic and scoring layers.</w:t>
      </w:r>
    </w:p>
    <w:p>
      <w:pPr>
        <w:pStyle w:val="Heading2"/>
      </w:pPr>
      <w:r>
        <w:t>2.1 Non-Goals for MVP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Diagnosing every mechanical system in the vehicle.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Predicting exact remaining useful life of components.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Replacing a licensed mechanic or manufacturer service procedure.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Maintaining continuous multi-day or multi-month raw OBD telemetry.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Building a personalized per-vehicle historical baseline in the initial release.</w:t>
      </w:r>
    </w:p>
    <w:p>
      <w:pPr>
        <w:pStyle w:val="Heading1"/>
      </w:pPr>
      <w:r>
        <w:t>3. Target User and Core Journeys</w:t>
      </w:r>
    </w:p>
    <w:p>
      <w:pPr>
        <w:pStyle w:val="Heading2"/>
      </w:pPr>
      <w:r>
        <w:t>3.1 Primary User</w:t>
      </w:r>
    </w:p>
    <w:p>
      <w:r>
        <w:rPr>
          <w:rFonts w:ascii="Aptos" w:hAnsi="Aptos"/>
          <w:sz w:val="21"/>
        </w:rPr>
        <w:t>A vehicle owner with limited mechanical knowledge who owns or has access to a compatible OBD-II adapter and wants a clear explanation of the vehicle’s diagnostic condition.</w:t>
      </w:r>
    </w:p>
    <w:p>
      <w:pPr>
        <w:pStyle w:val="Heading2"/>
      </w:pPr>
      <w:r>
        <w:t>3.2 Journey A — Quick Scan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User connects the OBD-II adapter and selects Quick Scan.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CarPal establishes communication and identifies supported diagnostic capabilities.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CarPal reads trouble codes, readiness state, Mode $06 results where supported, and a current sensor snapshot.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The diagnostic engine groups the data into findings and highlights anything requiring attention.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CarPal presents a Quick Assessment with status, findings, evidence, and an assessment confidence level.</w:t>
      </w:r>
    </w:p>
    <w:p>
      <w:pPr>
        <w:pStyle w:val="Heading2"/>
      </w:pPr>
      <w:r>
        <w:t>3.3 Journey B — Health Scan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User connects the adapter and starts a Health Scan before or during a normal drive.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CarPal continuously polls selected OBD-II signals at appropriate frequencies.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The monitoring engine classifies operating conditions such as warm-up, warm idle, acceleration, cruise, and deceleration.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Raw samples are aggregated into rolling diagnostic windows and derived features.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The diagnostic engine identifies persistent or correlated abnormalities as findings.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CarPal produces category scores, an overall OBD Health Score, and a Confidence Score based on scan coverage and data quality.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The user receives an explainable report showing what affected the score and the evidence behind each finding.</w:t>
      </w:r>
    </w:p>
    <w:p>
      <w:pPr>
        <w:pStyle w:val="Heading1"/>
      </w:pPr>
      <w:r>
        <w:t>4. MVP Scan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rHeight w:hRule="atLeast"/>
          <w:tblHeader w:val="true"/>
        </w:trPr>
        <w:tc>
          <w:tcPr>
            <w:tcW w:type="dxa" w:w="2520"/>
            <w:shd w:fill="DCE5EC"/>
          </w:tcPr>
          <w:p>
            <w:r>
              <w:rPr>
                <w:rFonts w:ascii="Aptos" w:hAnsi="Aptos"/>
                <w:b/>
                <w:color w:val="1C2D3D"/>
                <w:sz w:val="19"/>
              </w:rPr>
              <w:t>Dimension</w:t>
            </w:r>
          </w:p>
        </w:tc>
        <w:tc>
          <w:tcPr>
            <w:tcW w:type="dxa" w:w="2520"/>
            <w:shd w:fill="DCE5EC"/>
          </w:tcPr>
          <w:p>
            <w:r>
              <w:rPr>
                <w:rFonts w:ascii="Aptos" w:hAnsi="Aptos"/>
                <w:b/>
                <w:color w:val="1C2D3D"/>
                <w:sz w:val="19"/>
              </w:rPr>
              <w:t>Quick Scan</w:t>
            </w:r>
          </w:p>
        </w:tc>
        <w:tc>
          <w:tcPr>
            <w:tcW w:type="dxa" w:w="2520"/>
            <w:shd w:fill="DCE5EC"/>
          </w:tcPr>
          <w:p>
            <w:r>
              <w:rPr>
                <w:rFonts w:ascii="Aptos" w:hAnsi="Aptos"/>
                <w:b/>
                <w:color w:val="1C2D3D"/>
                <w:sz w:val="19"/>
              </w:rPr>
              <w:t>Health Scan</w:t>
            </w:r>
          </w:p>
        </w:tc>
        <w:tc>
          <w:tcPr>
            <w:tcW w:type="dxa" w:w="2520"/>
            <w:shd w:fill="DCE5EC"/>
          </w:tcPr>
          <w:p>
            <w:r>
              <w:rPr>
                <w:rFonts w:ascii="Aptos" w:hAnsi="Aptos"/>
                <w:b/>
                <w:color w:val="1C2D3D"/>
                <w:sz w:val="19"/>
              </w:rPr>
              <w:t>Background Monitor (Future)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Initiation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User initiated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User initiated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Passive / automatic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Collection style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Snapshot + ECU diagnostic queries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Continuous session monitoring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Continuous / recurring monitoring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Typical duration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Seconds to a few minutes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Coverage-based driving session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Ongoing across trips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Health score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Optional / limited; prefer Quick Assessment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 — 0–100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 — longitudinal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Confidence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Persistent raw telemetry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 / aggregated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Personal baseline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MVP status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shd w:fill="E8F2EA"/>
          </w:tcPr>
          <w:p>
            <w:r>
              <w:rPr>
                <w:rFonts w:ascii="Aptos" w:hAnsi="Aptos"/>
                <w:sz w:val="18"/>
              </w:rPr>
              <w:t>In scope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shd w:fill="E8F2EA"/>
          </w:tcPr>
          <w:p>
            <w:r>
              <w:rPr>
                <w:rFonts w:ascii="Aptos" w:hAnsi="Aptos"/>
                <w:sz w:val="18"/>
              </w:rPr>
              <w:t>In scope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shd w:fill="F7E9E7"/>
          </w:tcPr>
          <w:p>
            <w:r>
              <w:rPr>
                <w:rFonts w:ascii="Aptos" w:hAnsi="Aptos"/>
                <w:sz w:val="18"/>
              </w:rPr>
              <w:t>Out of scope</w:t>
            </w:r>
          </w:p>
        </w:tc>
      </w:tr>
    </w:tbl>
    <w:p>
      <w:pPr>
        <w:pStyle w:val="Heading1"/>
      </w:pPr>
      <w:r>
        <w:t>5. Functional Requirements</w:t>
      </w:r>
    </w:p>
    <w:p>
      <w:pPr>
        <w:pStyle w:val="Heading2"/>
      </w:pPr>
      <w:r>
        <w:t>5.1 Common Scan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FR-01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Vehicle connectivity: </w:t>
            </w:r>
            <w:r>
              <w:rPr>
                <w:rFonts w:ascii="Aptos" w:hAnsi="Aptos"/>
                <w:b w:val="0"/>
                <w:sz w:val="20"/>
              </w:rPr>
              <w:t>The app shall connect to a compatible OBD-II adapter and establish a diagnostic session.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FR-02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Capability discovery: </w:t>
            </w:r>
            <w:r>
              <w:rPr>
                <w:rFonts w:ascii="Aptos" w:hAnsi="Aptos"/>
                <w:b w:val="0"/>
                <w:sz w:val="20"/>
              </w:rPr>
              <w:t>The app shall identify supported standardized diagnostic data and gracefully handle vehicles that expose only a subset of signals or monitors.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FR-03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Canonical signals: </w:t>
            </w:r>
            <w:r>
              <w:rPr>
                <w:rFonts w:ascii="Aptos" w:hAnsi="Aptos"/>
                <w:b w:val="0"/>
                <w:sz w:val="20"/>
              </w:rPr>
              <w:t>The diagnostic and scoring layers shall consume normalized, transport-independent signal names rather than directly depending on individual protocol commands or PID identifiers.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FR-04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Findings model: </w:t>
            </w:r>
            <w:r>
              <w:rPr>
                <w:rFonts w:ascii="Aptos" w:hAnsi="Aptos"/>
                <w:b w:val="0"/>
                <w:sz w:val="20"/>
              </w:rPr>
              <w:t>The app shall combine related evidence into diagnostic findings so one underlying issue is not penalized repeatedly across correlated PIDs, DTCs, and self-test results.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FR-05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Plain-language explanation: </w:t>
            </w:r>
            <w:r>
              <w:rPr>
                <w:rFonts w:ascii="Aptos" w:hAnsi="Aptos"/>
                <w:b w:val="0"/>
                <w:sz w:val="20"/>
              </w:rPr>
              <w:t>Each user-visible finding shall provide a concise explanation, severity/impact, confidence, and supporting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5.2 Quick Scan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QS-01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Trouble codes: </w:t>
            </w:r>
            <w:r>
              <w:rPr>
                <w:rFonts w:ascii="Aptos" w:hAnsi="Aptos"/>
                <w:b w:val="0"/>
                <w:sz w:val="20"/>
              </w:rPr>
              <w:t>Quick Scan shall retrieve confirmed, pending, and permanent DTCs when supported.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QS-02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Readiness: </w:t>
            </w:r>
            <w:r>
              <w:rPr>
                <w:rFonts w:ascii="Aptos" w:hAnsi="Aptos"/>
                <w:b w:val="0"/>
                <w:sz w:val="20"/>
              </w:rPr>
              <w:t>Quick Scan shall retrieve readiness monitor status and distinguish “not ready” from a confirmed failure.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QS-03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Mode $06: </w:t>
            </w:r>
            <w:r>
              <w:rPr>
                <w:rFonts w:ascii="Aptos" w:hAnsi="Aptos"/>
                <w:b w:val="0"/>
                <w:sz w:val="20"/>
              </w:rPr>
              <w:t>Quick Scan shall retrieve onboard monitor/self-test results where supported and interpret measured values relative to ECU-defined limits when semantics are known.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QS-04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Current snapshot: </w:t>
            </w:r>
            <w:r>
              <w:rPr>
                <w:rFonts w:ascii="Aptos" w:hAnsi="Aptos"/>
                <w:b w:val="0"/>
                <w:sz w:val="20"/>
              </w:rPr>
              <w:t>Quick Scan shall capture current key live-data signals such as RPM, coolant temperature, fuel trim, engine load, MAF/MAP, lambda/O2 data, and control-module voltage when available.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QS-05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Assessment presentation: </w:t>
            </w:r>
            <w:r>
              <w:rPr>
                <w:rFonts w:ascii="Aptos" w:hAnsi="Aptos"/>
                <w:b w:val="0"/>
                <w:sz w:val="20"/>
              </w:rPr>
              <w:t>Quick Scan shall return a Quick Assessment rather than implying the same diagnostic completeness as a Health Scan.</w:t>
            </w:r>
          </w:p>
        </w:tc>
      </w:tr>
    </w:tbl>
    <w:p>
      <w:pPr>
        <w:spacing w:after="20"/>
      </w:pPr>
    </w:p>
    <w:p>
      <w:pPr>
        <w:pStyle w:val="Heading2"/>
      </w:pPr>
      <w:r>
        <w:t>5.3 Health Scan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Continuous polling: </w:t>
            </w:r>
            <w:r>
              <w:rPr>
                <w:rFonts w:ascii="Aptos" w:hAnsi="Aptos"/>
                <w:b w:val="0"/>
                <w:sz w:val="20"/>
              </w:rPr>
              <w:t>Health Scan shall continuously poll selected live-data signals for the duration of the scan.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HS-02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Adaptive sampling: </w:t>
            </w:r>
            <w:r>
              <w:rPr>
                <w:rFonts w:ascii="Aptos" w:hAnsi="Aptos"/>
                <w:b w:val="0"/>
                <w:sz w:val="20"/>
              </w:rPr>
              <w:t>The app shall use different sampling priorities/frequencies for fast-changing and slow-changing signals so the adapter is not overloaded.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HS-03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Operating-state detection: </w:t>
            </w:r>
            <w:r>
              <w:rPr>
                <w:rFonts w:ascii="Aptos" w:hAnsi="Aptos"/>
                <w:b w:val="0"/>
                <w:sz w:val="20"/>
              </w:rPr>
              <w:t>Health Scan shall classify useful operating conditions including warm-up, warm idle, acceleration, steady cruise, and deceleration when sufficient data is available.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Rolling windows: </w:t>
            </w:r>
            <w:r>
              <w:rPr>
                <w:rFonts w:ascii="Aptos" w:hAnsi="Aptos"/>
                <w:b w:val="0"/>
                <w:sz w:val="20"/>
              </w:rPr>
              <w:t>The monitoring engine shall aggregate raw samples into diagnostic windows containing summary statistics such as mean, median, min, max, variability, duration, and sample count.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HS-05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Persistence detection: </w:t>
            </w:r>
            <w:r>
              <w:rPr>
                <w:rFonts w:ascii="Aptos" w:hAnsi="Aptos"/>
                <w:b w:val="0"/>
                <w:sz w:val="20"/>
              </w:rPr>
              <w:t>Rules shall consider persistence and operating context so transient spikes do not create the same finding as a sustained abnormal condition.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HS-06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Coverage-based completion: </w:t>
            </w:r>
            <w:r>
              <w:rPr>
                <w:rFonts w:ascii="Aptos" w:hAnsi="Aptos"/>
                <w:b w:val="0"/>
                <w:sz w:val="20"/>
              </w:rPr>
              <w:t>Health Scan progress shall be based primarily on diagnostic coverage and confidence, not solely on elapsed time.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HS-07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Health scoring: </w:t>
            </w:r>
            <w:r>
              <w:rPr>
                <w:rFonts w:ascii="Aptos" w:hAnsi="Aptos"/>
                <w:b w:val="0"/>
                <w:sz w:val="20"/>
              </w:rPr>
              <w:t>Health Scan shall produce category scores and an overall 0–100 OBD Health Score.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HS-08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Confidence scoring: </w:t>
            </w:r>
            <w:r>
              <w:rPr>
                <w:rFonts w:ascii="Aptos" w:hAnsi="Aptos"/>
                <w:b w:val="0"/>
                <w:sz w:val="20"/>
              </w:rPr>
              <w:t>Health Scan shall produce a separate Confidence Score based on data coverage, monitor completion, operating-condition coverage, and data quality.</w:t>
            </w:r>
          </w:p>
        </w:tc>
      </w:tr>
    </w:tbl>
    <w:p>
      <w:pPr>
        <w:spacing w:after="20"/>
      </w:pPr>
    </w:p>
    <w:p>
      <w:pPr>
        <w:pStyle w:val="Heading1"/>
      </w:pPr>
      <w:r>
        <w:t>6. Diagnostic and Scoring Model</w:t>
      </w:r>
    </w:p>
    <w:p>
      <w:pPr>
        <w:pStyle w:val="Heading2"/>
      </w:pPr>
      <w:r>
        <w:t>6.1 Processing Pipeline</w:t>
      </w:r>
    </w:p>
    <w:p>
      <w:r>
        <w:rPr>
          <w:rFonts w:ascii="Aptos" w:hAnsi="Aptos"/>
          <w:b/>
          <w:color w:val="32495C"/>
          <w:sz w:val="21"/>
        </w:rPr>
        <w:t>OBD stream / snapshot  →  Canonical signals  →  Context &amp; rolling windows  →  Derived features  →  Diagnostic findings  →  Category scores  →  Health + Confidence</w:t>
      </w:r>
    </w:p>
    <w:p>
      <w:pPr>
        <w:pStyle w:val="Heading2"/>
      </w:pPr>
      <w:r>
        <w:t>6.2 Initial Scoring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</w:trPr>
        <w:tc>
          <w:tcPr>
            <w:tcW w:type="dxa" w:w="3360"/>
            <w:shd w:fill="DCE5EC"/>
          </w:tcPr>
          <w:p>
            <w:r>
              <w:rPr>
                <w:rFonts w:ascii="Aptos" w:hAnsi="Aptos"/>
                <w:b/>
                <w:sz w:val="19"/>
              </w:rPr>
              <w:t>Category</w:t>
            </w:r>
          </w:p>
        </w:tc>
        <w:tc>
          <w:tcPr>
            <w:tcW w:type="dxa" w:w="3360"/>
            <w:shd w:fill="DCE5EC"/>
          </w:tcPr>
          <w:p>
            <w:r>
              <w:rPr>
                <w:rFonts w:ascii="Aptos" w:hAnsi="Aptos"/>
                <w:b/>
                <w:sz w:val="19"/>
              </w:rPr>
              <w:t>Initial Weight</w:t>
            </w:r>
          </w:p>
        </w:tc>
        <w:tc>
          <w:tcPr>
            <w:tcW w:type="dxa" w:w="3360"/>
            <w:shd w:fill="DCE5EC"/>
          </w:tcPr>
          <w:p>
            <w:r>
              <w:rPr>
                <w:rFonts w:ascii="Aptos" w:hAnsi="Aptos"/>
                <w:b/>
                <w:sz w:val="19"/>
              </w:rPr>
              <w:t>Representative Evidence</w:t>
            </w:r>
          </w:p>
        </w:tc>
      </w:tr>
      <w:tr>
        <w:trPr>
          <w:trHeight w:hRule="atLeast"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Combustion / Engine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30%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Misfire, RPM stability, engine load, Mode $06 misfire results</w:t>
            </w:r>
          </w:p>
        </w:tc>
      </w:tr>
      <w:tr>
        <w:trPr>
          <w:trHeight w:hRule="atLeast"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Fuel &amp; Air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25%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STFT/LTFT, lambda/O2, MAF/MAP, bank-to-bank imbalance</w:t>
            </w:r>
          </w:p>
        </w:tc>
      </w:tr>
      <w:tr>
        <w:trPr>
          <w:trHeight w:hRule="atLeast"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Thermal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15%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Coolant temperature, warm-up behavior, overheating/under-temperature patterns</w:t>
            </w:r>
          </w:p>
        </w:tc>
      </w:tr>
      <w:tr>
        <w:trPr>
          <w:trHeight w:hRule="atLeast"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Emissions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20%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Catalyst, O2, EVAP, readiness and Mode $06 monitor results</w:t>
            </w:r>
          </w:p>
        </w:tc>
      </w:tr>
      <w:tr>
        <w:trPr>
          <w:trHeight w:hRule="atLeast"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Electrical / ECU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10%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Control-module voltage and sensor plausibility</w:t>
            </w:r>
          </w:p>
        </w:tc>
      </w:tr>
    </w:tbl>
    <w:p>
      <w:r>
        <w:rPr>
          <w:rFonts w:ascii="Aptos" w:hAnsi="Aptos"/>
          <w:b/>
          <w:sz w:val="21"/>
        </w:rPr>
        <w:t xml:space="preserve">Initial formula: </w:t>
      </w:r>
      <w:r>
        <w:rPr>
          <w:rFonts w:ascii="Aptos" w:hAnsi="Aptos"/>
          <w:sz w:val="21"/>
        </w:rPr>
        <w:t>Health = 0.30 × Combustion + 0.25 × Fuel/Air + 0.15 × Thermal + 0.20 × Emissions + 0.10 × Electrical.</w:t>
      </w:r>
    </w:p>
    <w:p>
      <w:r>
        <w:rPr>
          <w:rFonts w:ascii="Aptos" w:hAnsi="Aptos"/>
          <w:i/>
          <w:color w:val="596875"/>
          <w:sz w:val="21"/>
        </w:rPr>
        <w:t>The exact weights and thresholds are product hypotheses for validation; they should be configurable rather than hard-coded throughout the app.</w:t>
      </w:r>
    </w:p>
    <w:p>
      <w:pPr>
        <w:pStyle w:val="Heading2"/>
      </w:pPr>
      <w:r>
        <w:t>6.3 Findings over Raw PID Penalties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Raw sensor readings shall not directly subtract points independently when they represent the same underlying condition.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A finding may combine DTCs, live-data patterns, Mode $06 evidence, cross-bank comparisons, and persistence.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Each finding should contain category, severity, confidence, persistence, evidence, and optional probable causes.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The AI explanation layer should explain deterministic findings; it should not independently invent the core diagnosis used to calculate the score.</w:t>
      </w:r>
    </w:p>
    <w:p>
      <w:pPr>
        <w:pStyle w:val="Heading2"/>
      </w:pPr>
      <w:r>
        <w:t>6.4 Confidence Model</w:t>
      </w:r>
    </w:p>
    <w:p>
      <w:r>
        <w:rPr>
          <w:rFonts w:ascii="Aptos" w:hAnsi="Aptos"/>
          <w:sz w:val="21"/>
        </w:rPr>
        <w:t>The Confidence Score should communicate how complete and trustworthy the current assessment is. An initial model may consider: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Signal / PID coverage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Readiness and monitor completion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Driving-condition coverage during Health Scan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Sample count, continuity, adapter throughput, and basic data-quality checks</w:t>
      </w:r>
    </w:p>
    <w:p>
      <w:r>
        <w:rPr>
          <w:rFonts w:ascii="Aptos" w:hAnsi="Aptos"/>
          <w:b/>
          <w:sz w:val="21"/>
        </w:rPr>
        <w:t>Missing data should reduce confidence or mark a category as partially assessed; missing data should not silently be interpreted as healthy.</w:t>
      </w:r>
    </w:p>
    <w:p>
      <w:pPr>
        <w:pStyle w:val="Heading1"/>
      </w:pPr>
      <w:r>
        <w:t>7. User Experience and Visualization Requirements</w:t>
      </w:r>
    </w:p>
    <w:p>
      <w:pPr>
        <w:pStyle w:val="Heading2"/>
      </w:pPr>
      <w:r>
        <w:t>7.1 Health Scan Summary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Prominent OBD Health Score shown as a 0–100 ring/donut or equivalent primary visual.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Separate Confidence Score displayed near the health score.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Category-level breakdown for Combustion, Fuel &amp; Air, Thermal, Emissions, and Electrical / ECU.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Top findings ordered by impact/severity, each showing evidence and confidence.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Clear language that the assessment is based on OBD-accessible systems and is not a complete mechanical inspection.</w:t>
      </w:r>
    </w:p>
    <w:p>
      <w:pPr>
        <w:pStyle w:val="Heading2"/>
      </w:pPr>
      <w:r>
        <w:t>7.2 Health Scan Progress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Show recognized operating conditions as completed or pending (for example: warm-up, warm idle, acceleration, cruise, deceleration).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Show confidence increasing as useful diagnostic coverage is collected.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Allow the user to end the scan early, while clearly indicating if the result has reduced confidence.</w:t>
      </w:r>
    </w:p>
    <w:p>
      <w:pPr>
        <w:pStyle w:val="Heading2"/>
      </w:pPr>
      <w:r>
        <w:t>7.3 Advanced Data View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Provide time-series views for selected signals and derived metrics.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Overlay or label the operating state so users can understand why a value may be normal in one context and abnormal in another.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For Mode $06, visualize test headroom or distance to ECU-defined limits when the result semantics are known; do not present this as exact remaining component life.</w:t>
      </w:r>
    </w:p>
    <w:p>
      <w:pPr>
        <w:pStyle w:val="Heading1"/>
      </w:pPr>
      <w:r>
        <w:t>8. Data Storage and Session Requirements</w:t>
      </w:r>
    </w:p>
    <w:p>
      <w:r>
        <w:rPr>
          <w:rFonts w:ascii="Aptos" w:hAnsi="Aptos"/>
          <w:b/>
          <w:sz w:val="21"/>
        </w:rPr>
        <w:t xml:space="preserve">MVP principle: </w:t>
      </w:r>
      <w:r>
        <w:rPr>
          <w:rFonts w:ascii="Aptos" w:hAnsi="Aptos"/>
          <w:sz w:val="21"/>
        </w:rPr>
        <w:t>Health Scan requires temporary session state, but it does not require persistent raw telemetry storage.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Raw live samples may be kept in memory only long enough to calculate rolling diagnostic windows.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The app may discard raw samples after the relevant aggregated statistics/features have been computed.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The MVP may persist the final scan summary (scan type, date, health score, confidence, category scores, and findings) to support a simple scan-history screen.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The MVP does not require a cloud telemetry ingestion pipeline or long-term raw OBD time-series database.</w:t>
      </w:r>
    </w:p>
    <w:p>
      <w:pPr>
        <w:pStyle w:val="Heading1"/>
      </w:pPr>
      <w:r>
        <w:t>9.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NFR-01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Explainability: </w:t>
            </w:r>
            <w:r>
              <w:rPr>
                <w:rFonts w:ascii="Aptos" w:hAnsi="Aptos"/>
                <w:b w:val="0"/>
                <w:sz w:val="20"/>
              </w:rPr>
              <w:t>Every material score deduction shall be traceable to one or more findings and supporting evidence.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NFR-02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Graceful degradation: </w:t>
            </w:r>
            <w:r>
              <w:rPr>
                <w:rFonts w:ascii="Aptos" w:hAnsi="Aptos"/>
                <w:b w:val="0"/>
                <w:sz w:val="20"/>
              </w:rPr>
              <w:t>The app shall remain useful when vehicles support different subsets of standardized PIDs or diagnostic monitors.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NFR-03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Performance: </w:t>
            </w:r>
            <w:r>
              <w:rPr>
                <w:rFonts w:ascii="Aptos" w:hAnsi="Aptos"/>
                <w:b w:val="0"/>
                <w:sz w:val="20"/>
              </w:rPr>
              <w:t>Continuous polling shall prioritize useful signals without overwhelming typical consumer OBD-II adapters.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NFR-04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Safety language: </w:t>
            </w:r>
            <w:r>
              <w:rPr>
                <w:rFonts w:ascii="Aptos" w:hAnsi="Aptos"/>
                <w:b w:val="0"/>
                <w:sz w:val="20"/>
              </w:rPr>
              <w:t>The app shall avoid definitive statements that exceed available evidence and shall distinguish warnings, likely causes, and confirmed diagnostic states.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691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/>
                <w:sz w:val="20"/>
              </w:rPr>
              <w:t>NFR-05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2F6"/>
          </w:tcPr>
          <w:p>
            <w:r>
              <w:rPr>
                <w:rFonts w:ascii="Aptos" w:hAnsi="Aptos"/>
                <w:b w:val="0"/>
                <w:sz w:val="20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 xml:space="preserve">Extensibility: </w:t>
            </w:r>
            <w:r>
              <w:rPr>
                <w:rFonts w:ascii="Aptos" w:hAnsi="Aptos"/>
                <w:b w:val="0"/>
                <w:sz w:val="20"/>
              </w:rPr>
              <w:t>The architecture shall permit future manufacturer-specific signals, OBDonUDS/J1979-2 transports, and background-monitoring data sources to map into the same canonical signal and findings model.</w:t>
            </w:r>
          </w:p>
        </w:tc>
      </w:tr>
    </w:tbl>
    <w:p>
      <w:pPr>
        <w:spacing w:after="20"/>
      </w:pPr>
    </w:p>
    <w:p>
      <w:pPr>
        <w:pStyle w:val="Heading1"/>
      </w:pPr>
      <w:r>
        <w:t>10. Explicitly Out of Scope for MVP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Passive Background Monitor and automatic drive detection.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Continuous operation while the app is not actively running a user-initiated scan.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Persistent multi-trip raw telemetry storage.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Cloud telemetry ingestion, retention, and historical time-series querying.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Personalized baseline models learned from weeks or months of one vehicle’s history.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Predictive degradation alerts based on long-term trends.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Manufacturer-specific enhanced diagnostics beyond what is required for the initial validated vehicle set.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Comprehensive non-OBD mechanical inspection (brakes, tires, suspension, body/frame, etc.).</w:t>
      </w:r>
    </w:p>
    <w:p>
      <w:pPr>
        <w:pStyle w:val="Heading1"/>
      </w:pPr>
      <w:r>
        <w:t>11. Future Phase — Background Monitor and Personal Baseline</w:t>
      </w:r>
    </w:p>
    <w:p>
      <w:r>
        <w:rPr>
          <w:rFonts w:ascii="Aptos" w:hAnsi="Aptos"/>
          <w:sz w:val="21"/>
        </w:rPr>
        <w:t>The future Background Monitor extends the same diagnostic model from a single user-initiated session to repeated passive observation across trips.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Automatically detect eligible drives and collect diagnostic windows without requiring a manual Health Scan.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Persist aggregated telemetry and scan history across days, weeks, and months.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Learn a personalized baseline for the exact vehicle instead of relying only on generic thresholds.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Detect deviation from the vehicle’s own normal behavior even when values remain inside broad generic ranges.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Surface longitudinal trends such as worsening fuel-trim behavior, declining self-test headroom, or recurring intermittent findings.</w:t>
      </w:r>
    </w:p>
    <w:p>
      <w:pPr>
        <w:pStyle w:val="Heading1"/>
      </w:pPr>
      <w:r>
        <w:t>12. MVP Acceptance / Success Criteria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A user can connect a supported adapter and successfully complete a Quick Scan.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A user can start, observe progress for, and complete a Health Scan during normal driving.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Health Scan can classify multiple operating conditions and create rolling diagnostic windows from continuous OBD data.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The system can generate explainable findings from correlated diagnostic evidence rather than independent PID alarms.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Health Scan produces an overall OBD Health Score, category scores, and a Confidence Score.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Quick Scan clearly communicates that its assessment is less comprehensive than a Health Scan.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The app remains functional when some PIDs or monitors are unsupported and reflects missing coverage through confidence rather than assuming healthy values.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No long-term raw telemetry backend is required to ship the MVP.</w:t>
      </w:r>
    </w:p>
    <w:p>
      <w:pPr>
        <w:pStyle w:val="Heading1"/>
      </w:pPr>
      <w:r>
        <w:t>13. Product Decisions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  <w:tblHeader w:val="true"/>
        </w:trPr>
        <w:tc>
          <w:tcPr>
            <w:tcW w:type="dxa" w:w="5040"/>
            <w:shd w:fill="DCE5EC"/>
          </w:tcPr>
          <w:p>
            <w:r>
              <w:rPr>
                <w:rFonts w:ascii="Aptos" w:hAnsi="Aptos"/>
                <w:b/>
                <w:sz w:val="19"/>
              </w:rPr>
              <w:t>Decision</w:t>
            </w:r>
          </w:p>
        </w:tc>
        <w:tc>
          <w:tcPr>
            <w:tcW w:type="dxa" w:w="5040"/>
            <w:shd w:fill="DCE5EC"/>
          </w:tcPr>
          <w:p>
            <w:r>
              <w:rPr>
                <w:rFonts w:ascii="Aptos" w:hAnsi="Aptos"/>
                <w:b/>
                <w:sz w:val="19"/>
              </w:rPr>
              <w:t>Current Direction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MVP scan modes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Quick Scan and Health Scan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Deferred scan mode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Background Monitor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Health Scan collection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Continuous monitoring during a user-initiated session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Scan completion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Coverage/confidence based rather than fixed-duration only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Primary score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0–100 OBD Health / Powertrain Health Score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Secondary score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Confidence Score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Scoring primitive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Diagnostic Finding, not individual PID penalty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MVP telemetry persistence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No long-term raw telemetry storage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Optional MVP persistence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Final scan summaries/history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Long-term differentiation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Contextual interpretation + personal vehicle baseline</w:t>
            </w:r>
          </w:p>
        </w:tc>
      </w:tr>
    </w:tbl>
    <w:p>
      <w:pPr>
        <w:spacing w:before="280"/>
      </w:pPr>
      <w:r>
        <w:rPr>
          <w:rFonts w:ascii="Aptos" w:hAnsi="Aptos"/>
          <w:b/>
          <w:color w:val="596875"/>
          <w:sz w:val="19"/>
        </w:rPr>
        <w:t xml:space="preserve">Document status: </w:t>
      </w:r>
      <w:r>
        <w:rPr>
          <w:rFonts w:ascii="Aptos" w:hAnsi="Aptos"/>
          <w:i/>
          <w:color w:val="596875"/>
          <w:sz w:val="19"/>
        </w:rPr>
        <w:t>Baseline MVP requirements captured from product discussion. Scoring thresholds, signal lists, and diagnostic rule definitions should be validated in subsequent technical/design specifications and real-vehicle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788087"/>
        <w:sz w:val="16"/>
      </w:rPr>
      <w:t>MVP Scope  •  Version 1.0  •  August 2026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880"/>
        <w:sz w:val="17"/>
      </w:rPr>
      <w:t>CarPal  |  Business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2D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249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3249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C2D3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2">
    <w:name w:val="Subtitle2"/>
    <w:pPr>
      <w:spacing w:after="240"/>
    </w:pPr>
    <w:rPr>
      <w:rFonts w:ascii="Aptos" w:hAnsi="Aptos"/>
      <w:color w:val="5968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