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1F4E79" w:sz="8"/>
          <w:left w:val="none"/>
          <w:bottom w:val="single" w:color="1F4E79" w:sz="8"/>
          <w:right w:val="none"/>
          <w:insideH w:val="single" w:color="auto" w:sz="4"/>
          <w:insideV w:val="single" w:color="auto" w:sz="4"/>
        </w:tblBorders>
      </w:tblPr>
      <w:tblGrid>
        <w:gridCol w:w="10466"/>
      </w:tblGrid>
      <w:tr>
        <w:tc>
          <w:tcPr>
            <w:tcBorders>
              <w:top w:val="none"/>
              <w:left w:val="none"/>
              <w:bottom w:val="none"/>
              <w:right w:val="none"/>
            </w:tcBorders>
            <w:shd w:fill="1F4E79" w:val="clear"/>
            <w:tcMar>
              <w:top w:type="dxa" w:w="120"/>
              <w:left w:type="dxa" w:w="200"/>
              <w:bottom w:type="dxa" w:w="80"/>
              <w:right w:type="dxa" w:w="200"/>
            </w:tcMar>
          </w:tcPr>
          <w:p>
            <w:pPr>
              <w:jc w:val="center"/>
            </w:pPr>
            <w:r>
              <w:rPr>
                <w:rFonts w:ascii="Arial" w:cs="Arial" w:eastAsia="Arial" w:hAnsi="Arial"/>
                <w:b/>
                <w:bCs/>
                <w:color w:val="FFFFFF"/>
                <w:sz w:val="22"/>
                <w:szCs w:val="22"/>
              </w:rPr>
              <w:t xml:space="preserve">UNIVERSIDAD DE PAZ – UNIPAZ</w:t>
            </w:r>
          </w:p>
          <w:p>
            <w:pPr>
              <w:jc w:val="center"/>
            </w:pPr>
            <w:r>
              <w:rPr>
                <w:rFonts w:ascii="Arial" w:cs="Arial" w:eastAsia="Arial" w:hAnsi="Arial"/>
                <w:color w:val="D0E8FF"/>
                <w:sz w:val="18"/>
                <w:szCs w:val="18"/>
              </w:rPr>
              <w:t xml:space="preserve">Evaluación Parcial · Procesos Industriales 1 · Ing. de Petróleo · 2025-2</w:t>
            </w:r>
          </w:p>
        </w:tc>
      </w:tr>
      <w:tr>
        <w:tc>
          <w:tcPr>
            <w:tcBorders>
              <w:top w:val="none"/>
              <w:left w:val="none"/>
              <w:bottom w:val="none"/>
              <w:right w:val="none"/>
            </w:tcBorders>
            <w:shd w:fill="F2F2F2" w:val="clear"/>
            <w:tcMar>
              <w:top w:type="dxa" w:w="100"/>
              <w:left w:type="dxa" w:w="200"/>
              <w:bottom w:type="dxa" w:w="100"/>
              <w:right w:type="dxa" w:w="200"/>
            </w:tcMar>
          </w:tcPr>
          <w:p>
            <w:r>
              <w:rPr>
                <w:rFonts w:ascii="Arial" w:cs="Arial" w:eastAsia="Arial" w:hAnsi="Arial"/>
                <w:b/>
                <w:bCs/>
                <w:sz w:val="19"/>
                <w:szCs w:val="19"/>
              </w:rPr>
              <w:t xml:space="preserve">Nombre completo: </w:t>
            </w:r>
            <w:r>
              <w:rPr>
                <w:rFonts w:ascii="Arial" w:cs="Arial" w:eastAsia="Arial" w:hAnsi="Arial"/>
                <w:sz w:val="19"/>
                <w:szCs w:val="19"/>
              </w:rPr>
              <w:t xml:space="preserve">________________________________________   </w:t>
            </w:r>
            <w:r>
              <w:rPr>
                <w:rFonts w:ascii="Arial" w:cs="Arial" w:eastAsia="Arial" w:hAnsi="Arial"/>
                <w:b/>
                <w:bCs/>
                <w:sz w:val="19"/>
                <w:szCs w:val="19"/>
              </w:rPr>
              <w:t xml:space="preserve">Código: </w:t>
            </w:r>
            <w:r>
              <w:rPr>
                <w:rFonts w:ascii="Arial" w:cs="Arial" w:eastAsia="Arial" w:hAnsi="Arial"/>
                <w:sz w:val="19"/>
                <w:szCs w:val="19"/>
              </w:rPr>
              <w:t xml:space="preserve">_______________________</w:t>
            </w:r>
          </w:p>
          <w:p>
            <w:pPr>
              <w:spacing w:before="60"/>
            </w:pPr>
            <w:r>
              <w:rPr>
                <w:rFonts w:ascii="Arial" w:cs="Arial" w:eastAsia="Arial" w:hAnsi="Arial"/>
                <w:b/>
                <w:bCs/>
                <w:sz w:val="19"/>
                <w:szCs w:val="19"/>
              </w:rPr>
              <w:t xml:space="preserve">Grupo: </w:t>
            </w:r>
            <w:r>
              <w:rPr>
                <w:rFonts w:ascii="Arial" w:cs="Arial" w:eastAsia="Arial" w:hAnsi="Arial"/>
                <w:sz w:val="19"/>
                <w:szCs w:val="19"/>
              </w:rPr>
              <w:t xml:space="preserve">______________   </w:t>
            </w:r>
            <w:r>
              <w:rPr>
                <w:rFonts w:ascii="Arial" w:cs="Arial" w:eastAsia="Arial" w:hAnsi="Arial"/>
                <w:b/>
                <w:bCs/>
                <w:sz w:val="19"/>
                <w:szCs w:val="19"/>
              </w:rPr>
              <w:t xml:space="preserve">Fecha: </w:t>
            </w:r>
            <w:r>
              <w:rPr>
                <w:rFonts w:ascii="Arial" w:cs="Arial" w:eastAsia="Arial" w:hAnsi="Arial"/>
                <w:sz w:val="19"/>
                <w:szCs w:val="19"/>
              </w:rPr>
              <w:t xml:space="preserve">____________________   </w:t>
            </w:r>
            <w:r>
              <w:rPr>
                <w:rFonts w:ascii="Arial" w:cs="Arial" w:eastAsia="Arial" w:hAnsi="Arial"/>
                <w:b/>
                <w:bCs/>
                <w:sz w:val="19"/>
                <w:szCs w:val="19"/>
              </w:rPr>
              <w:t xml:space="preserve">Calificación: </w:t>
            </w:r>
            <w:r>
              <w:rPr>
                <w:rFonts w:ascii="Arial" w:cs="Arial" w:eastAsia="Arial" w:hAnsi="Arial"/>
                <w:sz w:val="19"/>
                <w:szCs w:val="19"/>
              </w:rPr>
              <w:t xml:space="preserve">_________ / 5.0</w:t>
            </w:r>
          </w:p>
        </w:tc>
      </w:tr>
    </w:tbl>
    <w:p>
      <w:pPr>
        <w:spacing w:after="0" w:before="80"/>
      </w:pPr>
      <w:r>
        <w:rPr>
          <w:rFonts w:ascii="Arial" w:cs="Arial" w:eastAsia="Arial" w:hAnsi="Arial"/>
          <w:sz w:val="18"/>
          <w:szCs w:val="18"/>
        </w:rPr>
        <w:t xml:space="preserve"/>
      </w:r>
    </w:p>
    <w:p>
      <w:pPr>
        <w:spacing w:after="120" w:before="60"/>
      </w:pPr>
      <w:r>
        <w:rPr>
          <w:rFonts w:ascii="Arial" w:cs="Arial" w:eastAsia="Arial" w:hAnsi="Arial"/>
          <w:b/>
          <w:bCs/>
          <w:sz w:val="17"/>
          <w:szCs w:val="17"/>
        </w:rPr>
        <w:t xml:space="preserve">Instrucciones: </w:t>
      </w:r>
      <w:r>
        <w:rPr>
          <w:rFonts w:ascii="Arial" w:cs="Arial" w:eastAsia="Arial" w:hAnsi="Arial"/>
          <w:sz w:val="17"/>
          <w:szCs w:val="17"/>
        </w:rPr>
        <w:t xml:space="preserve">Seleccione la única respuesta correcta para cada pregunta. Tiempo total: </w:t>
      </w:r>
      <w:r>
        <w:rPr>
          <w:rFonts w:ascii="Arial" w:cs="Arial" w:eastAsia="Arial" w:hAnsi="Arial"/>
          <w:b/>
          <w:bCs/>
          <w:sz w:val="17"/>
          <w:szCs w:val="17"/>
        </w:rPr>
        <w:t xml:space="preserve">150 minutos</w:t>
      </w:r>
      <w:r>
        <w:rPr>
          <w:rFonts w:ascii="Arial" w:cs="Arial" w:eastAsia="Arial" w:hAnsi="Arial"/>
          <w:sz w:val="17"/>
          <w:szCs w:val="17"/>
        </w:rPr>
        <w:t xml:space="preserve">. Total: 22 preguntas · Valor total: 5.0 puntos.</w:t>
      </w:r>
    </w:p>
    <w:p>
      <w:pPr>
        <w:shd w:fill="1F4E79" w:val="clear"/>
        <w:spacing w:after="80" w:before="180"/>
        <w:ind w:left="80" w:right="80"/>
      </w:pPr>
      <w:r>
        <w:rPr>
          <w:rFonts w:ascii="Arial" w:cs="Arial" w:eastAsia="Arial" w:hAnsi="Arial"/>
          <w:b/>
          <w:bCs/>
          <w:color w:val="FFFFFF"/>
          <w:sz w:val="19"/>
          <w:szCs w:val="19"/>
        </w:rPr>
        <w:t xml:space="preserve">FASE I – Cadena de Valor del Gas Natural</w:t>
      </w:r>
      <w:r>
        <w:rPr>
          <w:rFonts w:ascii="Arial" w:cs="Arial" w:eastAsia="Arial" w:hAnsi="Arial"/>
          <w:color w:val="D0E8FF"/>
          <w:sz w:val="17"/>
          <w:szCs w:val="17"/>
        </w:rPr>
        <w:t xml:space="preserve">  [1.0 pt · 0.20 c/u]</w:t>
      </w:r>
    </w:p>
    <w:p>
      <w:pPr>
        <w:spacing w:after="40" w:before="120"/>
      </w:pPr>
      <w:r>
        <w:rPr>
          <w:rFonts w:ascii="Arial" w:cs="Arial" w:eastAsia="Arial" w:hAnsi="Arial"/>
          <w:b/>
          <w:bCs/>
          <w:color w:val="1F4E79"/>
          <w:sz w:val="18"/>
          <w:szCs w:val="18"/>
        </w:rPr>
        <w:t xml:space="preserve">1. </w:t>
      </w:r>
      <w:r>
        <w:rPr>
          <w:rFonts w:ascii="Arial" w:cs="Arial" w:eastAsia="Arial" w:hAnsi="Arial"/>
          <w:sz w:val="18"/>
          <w:szCs w:val="18"/>
        </w:rPr>
        <w:t xml:space="preserve">¿Cuál es el orden correcto de las etapas en la cadena de valor del gas natural, desde su origen hasta el usuario final?</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Exploración → Producción → Tratamiento → Transporte → Distribución → Comercialización</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Producción → Exploración → Transporte → Tratamiento → Distribución → Comercialización</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Exploración → Transporte → Producción → Distribución → Tratamiento → Comercialización</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Tratamiento → Exploración → Producción → Transporte → Comercialización → Distribución</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2. </w:t>
      </w:r>
      <w:r>
        <w:rPr>
          <w:rFonts w:ascii="Arial" w:cs="Arial" w:eastAsia="Arial" w:hAnsi="Arial"/>
          <w:sz w:val="18"/>
          <w:szCs w:val="18"/>
        </w:rPr>
        <w:t xml:space="preserve">Una empresa encontró gas natural en un yacimiento donde también se extrae petróleo crudo. El gas sale mezclado con el líquido. ¿Cómo se clasifica este tipo de gas y cuál es su principal característica?</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Gas libre</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Gas asociado</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Gas no convencional</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Gas sintético</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3. </w:t>
      </w:r>
      <w:r>
        <w:rPr>
          <w:rFonts w:ascii="Arial" w:cs="Arial" w:eastAsia="Arial" w:hAnsi="Arial"/>
          <w:sz w:val="18"/>
          <w:szCs w:val="18"/>
        </w:rPr>
        <w:t xml:space="preserve">En una planta de procesamiento, el gas crudo contiene 3% de H₂S y 8% de CO₂, haciéndolo corrosivo y tóxico. ¿Cuál proceso industrial elimina estos componentes ácidos?</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Deshidratación con glicol (TEG)</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Endulzamiento con aminas (MEA/DEA/MDEA)</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Proceso criogénico (turboexpansión)</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Adsorción con tamices moleculares</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4. </w:t>
      </w:r>
      <w:r>
        <w:rPr>
          <w:rFonts w:ascii="Arial" w:cs="Arial" w:eastAsia="Arial" w:hAnsi="Arial"/>
          <w:sz w:val="18"/>
          <w:szCs w:val="18"/>
        </w:rPr>
        <w:t xml:space="preserve">Una planta de fraccionamiento de líquidos del gas natural (LGN) recibe una mezcla de hidrocarburos líquidos. ¿Cuál es su función principal dentro de la cadena de valor?</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Comprimir el gas seco para inyectarlo en gasoductos de alta presión</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Separar la mezcla de LGN en fracciones individuales: etano, propano, butano y gasolina natural</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Convertir el gas natural en metanol líquido para uso como combustible vehicular</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Eliminar el nitrógeno y el helio presentes en el gas crudo de pozo</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5. </w:t>
      </w:r>
      <w:r>
        <w:rPr>
          <w:rFonts w:ascii="Arial" w:cs="Arial" w:eastAsia="Arial" w:hAnsi="Arial"/>
          <w:sz w:val="18"/>
          <w:szCs w:val="18"/>
        </w:rPr>
        <w:t xml:space="preserve">Colombia debe transportar gas natural desde los campos del Caribe hacia ciudades del interior a más de 1.200 km. ¿Cuál modalidad de transporte es la más adecuada para esta distancia terrestre?</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GNL (Gas Natural Licuado) en buques metaneros</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GNC (Gas Natural Comprimido) en cilindros</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Gasoducto de alta presión (entre 300 y 1.500 PSI)</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Gas sintético vehicular (GSV) en camiones cisterna</w:t>
      </w:r>
    </w:p>
    <w:p>
      <w:pPr>
        <w:spacing w:after="0" w:before="40"/>
      </w:pPr>
      <w:r>
        <w:rPr>
          <w:rFonts w:ascii="Arial" w:cs="Arial" w:eastAsia="Arial" w:hAnsi="Arial"/>
          <w:sz w:val="18"/>
          <w:szCs w:val="18"/>
        </w:rPr>
        <w:t xml:space="preserve"/>
      </w:r>
    </w:p>
    <w:p>
      <w:pPr>
        <w:shd w:fill="1F4E79" w:val="clear"/>
        <w:spacing w:after="80" w:before="180"/>
        <w:ind w:left="80" w:right="80"/>
      </w:pPr>
      <w:r>
        <w:rPr>
          <w:rFonts w:ascii="Arial" w:cs="Arial" w:eastAsia="Arial" w:hAnsi="Arial"/>
          <w:b/>
          <w:bCs/>
          <w:color w:val="FFFFFF"/>
          <w:sz w:val="19"/>
          <w:szCs w:val="19"/>
        </w:rPr>
        <w:t xml:space="preserve">FASE II – Cadena de Valor del Petróleo</w:t>
      </w:r>
      <w:r>
        <w:rPr>
          <w:rFonts w:ascii="Arial" w:cs="Arial" w:eastAsia="Arial" w:hAnsi="Arial"/>
          <w:color w:val="D0E8FF"/>
          <w:sz w:val="17"/>
          <w:szCs w:val="17"/>
        </w:rPr>
        <w:t xml:space="preserve">  [1.0 pt · 0.20 c/u]</w:t>
      </w:r>
    </w:p>
    <w:p>
      <w:pPr>
        <w:spacing w:after="40" w:before="120"/>
      </w:pPr>
      <w:r>
        <w:rPr>
          <w:rFonts w:ascii="Arial" w:cs="Arial" w:eastAsia="Arial" w:hAnsi="Arial"/>
          <w:b/>
          <w:bCs/>
          <w:color w:val="1F4E79"/>
          <w:sz w:val="18"/>
          <w:szCs w:val="18"/>
        </w:rPr>
        <w:t xml:space="preserve">6. </w:t>
      </w:r>
      <w:r>
        <w:rPr>
          <w:rFonts w:ascii="Arial" w:cs="Arial" w:eastAsia="Arial" w:hAnsi="Arial"/>
          <w:sz w:val="18"/>
          <w:szCs w:val="18"/>
        </w:rPr>
        <w:t xml:space="preserve">Una multinacional realiza exploración sísmica, perforación, producción, opera un oleoducto y una refinería. ¿Cómo se clasifican estas actividades según la cadena de valor del petróleo?</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Exploración y perforación = Upstream; Oleoducto = Midstream; Refinería = Downstream</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Exploración = Upstream; Perforación y producción = Midstream; Refinería y oleoducto = Downstream</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Todas las actividades de extracción = Upstream; Todo lo demás = Downstream</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Exploración = Midstream; Producción y refinería = Upstream; Comercialización = Downstream</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7. </w:t>
      </w:r>
      <w:r>
        <w:rPr>
          <w:rFonts w:ascii="Arial" w:cs="Arial" w:eastAsia="Arial" w:hAnsi="Arial"/>
          <w:sz w:val="18"/>
          <w:szCs w:val="18"/>
        </w:rPr>
        <w:t xml:space="preserve">Se miden tres muestras de crudo con gravedades API de 12°, 28° y 42°. ¿Cómo se clasifican y cuál tiene mayor valor comercial en el mercado internacional?</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12° API = Liviano (mayor valor); 28° API = Mediano; 42° API = Pesado (menor valor)</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12° API = Pesado (menor valor); 28° API = Mediano; 42° API = Liviano (mayor valor)</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Los tres son crudos medianos; la gravedad API no determina el valor comercial</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12° API = Extra pesado; 28° API = Liviano; 42° API = Condensado de gas</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8. </w:t>
      </w:r>
      <w:r>
        <w:rPr>
          <w:rFonts w:ascii="Arial" w:cs="Arial" w:eastAsia="Arial" w:hAnsi="Arial"/>
          <w:sz w:val="18"/>
          <w:szCs w:val="18"/>
        </w:rPr>
        <w:t xml:space="preserve">En la refinería de Barrancabermeja, el crudo entra a una torre de destilación atmosférica. ¿Qué principio físico-químico permite separar los diferentes derivados del petróleo en esta etapa?</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Diferencias en punto de ebullición de los hidrocarburos</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Diferencias en densidad</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Diferencias en solubilidad</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Diferencias en tamaño molecular</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9. </w:t>
      </w:r>
      <w:r>
        <w:rPr>
          <w:rFonts w:ascii="Arial" w:cs="Arial" w:eastAsia="Arial" w:hAnsi="Arial"/>
          <w:sz w:val="18"/>
          <w:szCs w:val="18"/>
        </w:rPr>
        <w:t xml:space="preserve">La refinería necesita aumentar la producción de gasolina de alto octano a partir de fracciones pesadas como el gasóleo de vacío. ¿Qué proceso de conversión catalítica se aplica para romper las moléculas grandes en moléculas más pequeñas y valiosas?</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Reformación catalítica</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Cracking catalítico fluido (FCC)</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Alquilación</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Hidrodesulfuración (HDS)</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10. </w:t>
      </w:r>
      <w:r>
        <w:rPr>
          <w:rFonts w:ascii="Arial" w:cs="Arial" w:eastAsia="Arial" w:hAnsi="Arial"/>
          <w:sz w:val="18"/>
          <w:szCs w:val="18"/>
        </w:rPr>
        <w:t xml:space="preserve">Un ingeniero debe identificar los principales derivados del petróleo y su uso. ¿Cuál de las siguientes relaciones entre derivado y aplicación es INCORRECTA?</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GLP (propano/butano) → Combustible doméstico e industrial en cilindros</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Asfalto (residuo de vacío) → Pavimentación de carreteras y techos impermeabilizantes</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Nafta petroquímica → Materia prima para producción de plásticos, resinas y fibras sintéticas</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Queroseno (Jet A-1) → Combustible para motores de propulsión a chorro en aviación</w:t>
      </w:r>
    </w:p>
    <w:p>
      <w:pPr>
        <w:spacing w:after="0" w:before="40"/>
      </w:pPr>
      <w:r>
        <w:rPr>
          <w:rFonts w:ascii="Arial" w:cs="Arial" w:eastAsia="Arial" w:hAnsi="Arial"/>
          <w:sz w:val="18"/>
          <w:szCs w:val="18"/>
        </w:rPr>
        <w:t xml:space="preserve"/>
      </w:r>
    </w:p>
    <w:p>
      <w:pPr>
        <w:shd w:fill="1F4E79" w:val="clear"/>
        <w:spacing w:after="80" w:before="180"/>
        <w:ind w:left="80" w:right="80"/>
      </w:pPr>
      <w:r>
        <w:rPr>
          <w:rFonts w:ascii="Arial" w:cs="Arial" w:eastAsia="Arial" w:hAnsi="Arial"/>
          <w:b/>
          <w:bCs/>
          <w:color w:val="FFFFFF"/>
          <w:sz w:val="19"/>
          <w:szCs w:val="19"/>
        </w:rPr>
        <w:t xml:space="preserve">FASE III – Procesos Técnicos con Apoyo Gráfico</w:t>
      </w:r>
      <w:r>
        <w:rPr>
          <w:rFonts w:ascii="Arial" w:cs="Arial" w:eastAsia="Arial" w:hAnsi="Arial"/>
          <w:color w:val="D0E8FF"/>
          <w:sz w:val="17"/>
          <w:szCs w:val="17"/>
        </w:rPr>
        <w:t xml:space="preserve">  [1.0 pt · 0.20 c/u]</w:t>
      </w:r>
    </w:p>
    <w:p>
      <w:pPr>
        <w:spacing w:after="20" w:before="40"/>
      </w:pPr>
      <w:r>
        <w:rPr>
          <w:rFonts w:ascii="Arial" w:cs="Arial" w:eastAsia="Arial" w:hAnsi="Arial"/>
          <w:i/>
          <w:iCs/>
          <w:color w:val="555555"/>
          <w:sz w:val="17"/>
          <w:szCs w:val="17"/>
        </w:rPr>
        <w:t xml:space="preserve">(Observe el diagrama de torre de perforación rotaria en el examen digital)</w:t>
      </w:r>
    </w:p>
    <w:p>
      <w:pPr>
        <w:spacing w:after="40" w:before="120"/>
      </w:pPr>
      <w:r>
        <w:rPr>
          <w:rFonts w:ascii="Arial" w:cs="Arial" w:eastAsia="Arial" w:hAnsi="Arial"/>
          <w:b/>
          <w:bCs/>
          <w:color w:val="1F4E79"/>
          <w:sz w:val="18"/>
          <w:szCs w:val="18"/>
        </w:rPr>
        <w:t xml:space="preserve">11. </w:t>
      </w:r>
      <w:r>
        <w:rPr>
          <w:rFonts w:ascii="Arial" w:cs="Arial" w:eastAsia="Arial" w:hAnsi="Arial"/>
          <w:sz w:val="18"/>
          <w:szCs w:val="18"/>
        </w:rPr>
        <w:t xml:space="preserve">El sistema que circula el fluido de perforación desde la superficie hasta el fondo del pozo y de regreso, manteniendo la presión y limpiando los ripios, se llama:</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Sistema de potencia (motores y generadores eléctricos de la plataforma)</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Sistema de circulación de lodo (bombas, líneas de descarga, BOP y tanques de lodo)</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Sistema de izaje (crown block, travelling block, gancho y malacate)</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Sistema de rotación (mesa rotaria, top drive y sarta de perforación)</w:t>
      </w:r>
    </w:p>
    <w:p>
      <w:pPr>
        <w:spacing w:after="0" w:before="40"/>
      </w:pPr>
      <w:r>
        <w:rPr>
          <w:rFonts w:ascii="Arial" w:cs="Arial" w:eastAsia="Arial" w:hAnsi="Arial"/>
          <w:sz w:val="18"/>
          <w:szCs w:val="18"/>
        </w:rPr>
        <w:t xml:space="preserve"/>
      </w:r>
    </w:p>
    <w:p>
      <w:pPr>
        <w:spacing w:after="20" w:before="40"/>
      </w:pPr>
      <w:r>
        <w:rPr>
          <w:rFonts w:ascii="Arial" w:cs="Arial" w:eastAsia="Arial" w:hAnsi="Arial"/>
          <w:i/>
          <w:iCs/>
          <w:color w:val="555555"/>
          <w:sz w:val="17"/>
          <w:szCs w:val="17"/>
        </w:rPr>
        <w:t xml:space="preserve">(Observe el diagrama del separador trifásico en el examen digital)</w:t>
      </w:r>
    </w:p>
    <w:p>
      <w:pPr>
        <w:spacing w:after="40" w:before="120"/>
      </w:pPr>
      <w:r>
        <w:rPr>
          <w:rFonts w:ascii="Arial" w:cs="Arial" w:eastAsia="Arial" w:hAnsi="Arial"/>
          <w:b/>
          <w:bCs/>
          <w:color w:val="1F4E79"/>
          <w:sz w:val="18"/>
          <w:szCs w:val="18"/>
        </w:rPr>
        <w:t xml:space="preserve">12. </w:t>
      </w:r>
      <w:r>
        <w:rPr>
          <w:rFonts w:ascii="Arial" w:cs="Arial" w:eastAsia="Arial" w:hAnsi="Arial"/>
          <w:sz w:val="18"/>
          <w:szCs w:val="18"/>
        </w:rPr>
        <w:t xml:space="preserve">El fluido de pozo (mezcla de gas, agua y crudo) entra al separador trifásico horizontal. ¿Cuál es el principio físico que permite la separación de las tres fases y en qué orden salen los fluidos por sus respectivas salidas?</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Temperatura diferencial – Gas sale caliente arriba, agua tibia al medio, crudo frío abajo</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Diferencia de densidades y gravedad – Gas sale por la parte superior, crudo por la parte media y agua por el fondo</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Presión diferencial – El componente de mayor presión parcial se separa primero</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Solubilidad – El gas se disuelve en el agua, el crudo flota y el agua sale por rebosamiento lateral</w:t>
      </w:r>
    </w:p>
    <w:p>
      <w:pPr>
        <w:spacing w:after="0" w:before="40"/>
      </w:pPr>
      <w:r>
        <w:rPr>
          <w:rFonts w:ascii="Arial" w:cs="Arial" w:eastAsia="Arial" w:hAnsi="Arial"/>
          <w:sz w:val="18"/>
          <w:szCs w:val="18"/>
        </w:rPr>
        <w:t xml:space="preserve"/>
      </w:r>
    </w:p>
    <w:p>
      <w:pPr>
        <w:spacing w:after="20" w:before="40"/>
      </w:pPr>
      <w:r>
        <w:rPr>
          <w:rFonts w:ascii="Arial" w:cs="Arial" w:eastAsia="Arial" w:hAnsi="Arial"/>
          <w:i/>
          <w:iCs/>
          <w:color w:val="555555"/>
          <w:sz w:val="17"/>
          <w:szCs w:val="17"/>
        </w:rPr>
        <w:t xml:space="preserve">(Observe el diagrama de exploración sísmica en el examen digital)</w:t>
      </w:r>
    </w:p>
    <w:p>
      <w:pPr>
        <w:spacing w:after="40" w:before="120"/>
      </w:pPr>
      <w:r>
        <w:rPr>
          <w:rFonts w:ascii="Arial" w:cs="Arial" w:eastAsia="Arial" w:hAnsi="Arial"/>
          <w:b/>
          <w:bCs/>
          <w:color w:val="1F4E79"/>
          <w:sz w:val="18"/>
          <w:szCs w:val="18"/>
        </w:rPr>
        <w:t xml:space="preserve">13. </w:t>
      </w:r>
      <w:r>
        <w:rPr>
          <w:rFonts w:ascii="Arial" w:cs="Arial" w:eastAsia="Arial" w:hAnsi="Arial"/>
          <w:sz w:val="18"/>
          <w:szCs w:val="18"/>
        </w:rPr>
        <w:t xml:space="preserve">¿Cuál es el propósito de los geófonos (receptores) dispuestos en superficie y qué tipo de información proporcionan al geofísico?</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Medir la temperatura del subsuelo para estimar la madurez térmica de la roca generadora</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Registrar el tiempo de llegada de las ondas sísmicas reflejadas en las interfaces geológicas para construir un modelo del subsuelo</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Detectar la presencia de hidrocarburos directamente mediante análisis geoquímico de gases en superficie</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Medir la permeabilidad y porosidad de las formaciones mediante la resistencia eléctrica del suelo</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14. </w:t>
      </w:r>
      <w:r>
        <w:rPr>
          <w:rFonts w:ascii="Arial" w:cs="Arial" w:eastAsia="Arial" w:hAnsi="Arial"/>
          <w:sz w:val="18"/>
          <w:szCs w:val="18"/>
        </w:rPr>
        <w:t xml:space="preserve">Al finalizar la perforación y confirmar la presencia de hidrocarburos, se instala en la cabeza del pozo un conjunto de válvulas, bridas y conexiones que permite controlar el flujo de los fluidos producidos. ¿Cómo se denomina este equipo?</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BOP (Blow Out Preventer) – Dispositivo de seguridad instalado durante la perforación para prevenir reventones</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Árbol de navidad (Christmas Tree) – Conjunto de válvulas instalado en la cabeza del pozo para controlar el flujo de producción</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Separador trifásico – Equipo de superficie que separa el gas, el crudo y el agua producidos por el pozo</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Manifold de producción – Sistema de tuberías que recolecta el flujo de múltiples pozos hacia una estación central</w:t>
      </w:r>
    </w:p>
    <w:p>
      <w:pPr>
        <w:spacing w:after="0" w:before="40"/>
      </w:pPr>
      <w:r>
        <w:rPr>
          <w:rFonts w:ascii="Arial" w:cs="Arial" w:eastAsia="Arial" w:hAnsi="Arial"/>
          <w:sz w:val="18"/>
          <w:szCs w:val="18"/>
        </w:rPr>
        <w:t xml:space="preserve"/>
      </w:r>
    </w:p>
    <w:p>
      <w:pPr>
        <w:spacing w:after="40" w:before="120"/>
      </w:pPr>
      <w:r>
        <w:rPr>
          <w:rFonts w:ascii="Arial" w:cs="Arial" w:eastAsia="Arial" w:hAnsi="Arial"/>
          <w:b/>
          <w:bCs/>
          <w:color w:val="1F4E79"/>
          <w:sz w:val="18"/>
          <w:szCs w:val="18"/>
        </w:rPr>
        <w:t xml:space="preserve">15. </w:t>
      </w:r>
      <w:r>
        <w:rPr>
          <w:rFonts w:ascii="Arial" w:cs="Arial" w:eastAsia="Arial" w:hAnsi="Arial"/>
          <w:sz w:val="18"/>
          <w:szCs w:val="18"/>
        </w:rPr>
        <w:t xml:space="preserve">Un pozo petrolero que inicialmente producía crudo por flujo natural deja de hacerlo porque la presión del yacimiento disminuyó. ¿Cuál es la función principal de los sistemas de levantamiento artificial en esta situación?</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Aumentar la presión del yacimiento inyectando fluidos desde la superficie</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Proporcionar energía adicional para llevar el crudo desde el fondo del pozo hasta la superficie cuando la presión natural ya no es suficiente</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Calentar el crudo en el fondo del pozo para reducir su viscosidad y hacerlo fluir más rápido</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Separar el gas, el agua y el petróleo directamente dentro del pozo antes de llevarlos a superficie</w:t>
      </w:r>
    </w:p>
    <w:p>
      <w:pPr>
        <w:spacing w:after="0" w:before="40"/>
      </w:pPr>
      <w:r>
        <w:rPr>
          <w:rFonts w:ascii="Arial" w:cs="Arial" w:eastAsia="Arial" w:hAnsi="Arial"/>
          <w:sz w:val="18"/>
          <w:szCs w:val="18"/>
        </w:rPr>
        <w:t xml:space="preserve"/>
      </w:r>
    </w:p>
    <w:p>
      <w:pPr>
        <w:shd w:fill="1F4E79" w:val="clear"/>
        <w:spacing w:after="80" w:before="180"/>
        <w:ind w:left="80" w:right="80"/>
      </w:pPr>
      <w:r>
        <w:rPr>
          <w:rFonts w:ascii="Arial" w:cs="Arial" w:eastAsia="Arial" w:hAnsi="Arial"/>
          <w:b/>
          <w:bCs/>
          <w:color w:val="FFFFFF"/>
          <w:sz w:val="19"/>
          <w:szCs w:val="19"/>
        </w:rPr>
        <w:t xml:space="preserve">FASE IV – Toma de Decisiones: Energías Renovables</w:t>
      </w:r>
      <w:r>
        <w:rPr>
          <w:rFonts w:ascii="Arial" w:cs="Arial" w:eastAsia="Arial" w:hAnsi="Arial"/>
          <w:color w:val="D0E8FF"/>
          <w:sz w:val="17"/>
          <w:szCs w:val="17"/>
        </w:rPr>
        <w:t xml:space="preserve">  [0.75 pt · 0.25 c/u]</w:t>
      </w:r>
    </w:p>
    <w:p>
      <w:pPr>
        <w:spacing w:after="16" w:before="16"/>
        <w:ind w:left="0"/>
      </w:pPr>
      <w:r>
        <w:rPr>
          <w:rFonts w:ascii="Arial" w:cs="Arial" w:eastAsia="Arial" w:hAnsi="Arial"/>
          <w:b w:val="false"/>
          <w:bCs w:val="false"/>
          <w:i/>
          <w:iCs/>
          <w:sz w:val="17"/>
          <w:szCs w:val="17"/>
        </w:rPr>
        <w:t xml:space="preserve">ESCENARIO DE DECISIÓN: El municipio de Uribia (La Guajira) tiene las siguientes condiciones:</w:t>
      </w:r>
    </w:p>
    <w:p>
      <w:pPr>
        <w:spacing w:after="16" w:before="16"/>
        <w:ind w:left="240"/>
      </w:pPr>
      <w:r>
        <w:rPr>
          <w:rFonts w:ascii="Arial" w:cs="Arial" w:eastAsia="Arial" w:hAnsi="Arial"/>
          <w:b/>
          <w:bCs/>
          <w:i w:val="false"/>
          <w:iCs w:val="false"/>
          <w:sz w:val="17"/>
          <w:szCs w:val="17"/>
        </w:rPr>
        <w:t xml:space="preserve">• Irradiación solar: 6.2 kWh/m²/día (una de las más altas de Colombia)</w:t>
      </w:r>
    </w:p>
    <w:p>
      <w:pPr>
        <w:spacing w:after="16" w:before="16"/>
        <w:ind w:left="240"/>
      </w:pPr>
      <w:r>
        <w:rPr>
          <w:rFonts w:ascii="Arial" w:cs="Arial" w:eastAsia="Arial" w:hAnsi="Arial"/>
          <w:b/>
          <w:bCs/>
          <w:i w:val="false"/>
          <w:iCs w:val="false"/>
          <w:sz w:val="17"/>
          <w:szCs w:val="17"/>
        </w:rPr>
        <w:t xml:space="preserve">• Velocidad del viento: 9.5 m/s promedio a 80 m de altura</w:t>
      </w:r>
    </w:p>
    <w:p>
      <w:pPr>
        <w:spacing w:after="16" w:before="16"/>
        <w:ind w:left="240"/>
      </w:pPr>
      <w:r>
        <w:rPr>
          <w:rFonts w:ascii="Arial" w:cs="Arial" w:eastAsia="Arial" w:hAnsi="Arial"/>
          <w:b/>
          <w:bCs/>
          <w:i w:val="false"/>
          <w:iCs w:val="false"/>
          <w:sz w:val="17"/>
          <w:szCs w:val="17"/>
        </w:rPr>
        <w:t xml:space="preserve">• Precipitación: 300 mm/año (zona árida)</w:t>
      </w:r>
    </w:p>
    <w:p>
      <w:pPr>
        <w:spacing w:after="16" w:before="16"/>
        <w:ind w:left="240"/>
      </w:pPr>
      <w:r>
        <w:rPr>
          <w:rFonts w:ascii="Arial" w:cs="Arial" w:eastAsia="Arial" w:hAnsi="Arial"/>
          <w:b/>
          <w:bCs/>
          <w:i w:val="false"/>
          <w:iCs w:val="false"/>
          <w:sz w:val="17"/>
          <w:szCs w:val="17"/>
        </w:rPr>
        <w:t xml:space="preserve">• Demanda eléctrica: 15 MW</w:t>
      </w:r>
    </w:p>
    <w:p>
      <w:pPr>
        <w:spacing w:after="16" w:before="16"/>
        <w:ind w:left="240"/>
      </w:pPr>
      <w:r>
        <w:rPr>
          <w:rFonts w:ascii="Arial" w:cs="Arial" w:eastAsia="Arial" w:hAnsi="Arial"/>
          <w:b/>
          <w:bCs/>
          <w:i w:val="false"/>
          <w:iCs w:val="false"/>
          <w:sz w:val="17"/>
          <w:szCs w:val="17"/>
        </w:rPr>
        <w:t xml:space="preserve">• Conexión a red nacional: Muy limitada (zona no interconectada)</w:t>
      </w:r>
    </w:p>
    <w:p>
      <w:pPr>
        <w:spacing w:after="40" w:before="120"/>
      </w:pPr>
      <w:r>
        <w:rPr>
          <w:rFonts w:ascii="Arial" w:cs="Arial" w:eastAsia="Arial" w:hAnsi="Arial"/>
          <w:b/>
          <w:bCs/>
          <w:color w:val="1F4E79"/>
          <w:sz w:val="18"/>
          <w:szCs w:val="18"/>
        </w:rPr>
        <w:t xml:space="preserve">16. </w:t>
      </w:r>
      <w:r>
        <w:rPr>
          <w:rFonts w:ascii="Arial" w:cs="Arial" w:eastAsia="Arial" w:hAnsi="Arial"/>
          <w:sz w:val="18"/>
          <w:szCs w:val="18"/>
        </w:rPr>
        <w:t xml:space="preserve">¿Cuál combinación de energías renovables es la decisión más técnica y económicamente justificada?</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Solo energía hidroeléctrica – La precipitación de 300 mm/año garantiza caudal suficiente para turbinas de pequeña escala</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Combinación solar fotovoltaica + eólica con almacenamiento en baterías – Alta irradiación y velocidad de viento la hacen óptima para zonas no interconectadas</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Biomasa a partir de residuos agrícolas – La Guajira tiene alta producción de caña de azúcar y maíz para gasificación</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Geotérmica – La proximidad a la Sierra Nevada de Santa Marta indica alta actividad volcánica explotable</w:t>
      </w:r>
    </w:p>
    <w:p>
      <w:pPr>
        <w:spacing w:after="0" w:before="40"/>
      </w:pPr>
      <w:r>
        <w:rPr>
          <w:rFonts w:ascii="Arial" w:cs="Arial" w:eastAsia="Arial" w:hAnsi="Arial"/>
          <w:sz w:val="18"/>
          <w:szCs w:val="18"/>
        </w:rPr>
        <w:t xml:space="preserve"/>
      </w:r>
    </w:p>
    <w:p>
      <w:pPr>
        <w:spacing w:after="16" w:before="16"/>
        <w:ind w:left="0"/>
      </w:pPr>
      <w:r>
        <w:rPr>
          <w:rFonts w:ascii="Arial" w:cs="Arial" w:eastAsia="Arial" w:hAnsi="Arial"/>
          <w:b w:val="false"/>
          <w:bCs w:val="false"/>
          <w:i/>
          <w:iCs/>
          <w:sz w:val="17"/>
          <w:szCs w:val="17"/>
        </w:rPr>
        <w:t xml:space="preserve">ESCENARIO DE ANÁLISIS COSTO-BENEFICIO: Se evalúan dos proyectos para el departamento de Boyacá:</w:t>
      </w:r>
    </w:p>
    <w:p>
      <w:pPr>
        <w:spacing w:after="16" w:before="16"/>
        <w:ind w:left="0"/>
      </w:pPr>
      <w:r>
        <w:rPr>
          <w:rFonts w:ascii="Arial" w:cs="Arial" w:eastAsia="Arial" w:hAnsi="Arial"/>
          <w:b w:val="false"/>
          <w:bCs w:val="false"/>
          <w:i/>
          <w:iCs/>
          <w:sz w:val="17"/>
          <w:szCs w:val="17"/>
        </w:rPr>
        <w:t xml:space="preserve">OPCIÓN A – Planta Solar FV (10 MW):</w:t>
      </w:r>
    </w:p>
    <w:p>
      <w:pPr>
        <w:spacing w:after="16" w:before="16"/>
        <w:ind w:left="240"/>
      </w:pPr>
      <w:r>
        <w:rPr>
          <w:rFonts w:ascii="Arial" w:cs="Arial" w:eastAsia="Arial" w:hAnsi="Arial"/>
          <w:b/>
          <w:bCs/>
          <w:i w:val="false"/>
          <w:iCs w:val="false"/>
          <w:sz w:val="17"/>
          <w:szCs w:val="17"/>
        </w:rPr>
        <w:t xml:space="preserve">• Inversión: USD 8 millones · LCOE: USD 45/MWh</w:t>
      </w:r>
    </w:p>
    <w:p>
      <w:pPr>
        <w:spacing w:after="16" w:before="16"/>
        <w:ind w:left="240"/>
      </w:pPr>
      <w:r>
        <w:rPr>
          <w:rFonts w:ascii="Arial" w:cs="Arial" w:eastAsia="Arial" w:hAnsi="Arial"/>
          <w:b/>
          <w:bCs/>
          <w:i w:val="false"/>
          <w:iCs w:val="false"/>
          <w:sz w:val="17"/>
          <w:szCs w:val="17"/>
        </w:rPr>
        <w:t xml:space="preserve">• Factor de capacidad: 18% · Vida útil: 25 años</w:t>
      </w:r>
    </w:p>
    <w:p>
      <w:pPr>
        <w:spacing w:after="16" w:before="16"/>
        <w:ind w:left="0"/>
      </w:pPr>
      <w:r>
        <w:rPr>
          <w:rFonts w:ascii="Arial" w:cs="Arial" w:eastAsia="Arial" w:hAnsi="Arial"/>
          <w:b w:val="false"/>
          <w:bCs w:val="false"/>
          <w:i/>
          <w:iCs/>
          <w:sz w:val="17"/>
          <w:szCs w:val="17"/>
        </w:rPr>
        <w:t xml:space="preserve">OPCIÓN B – Parque Eólico (10 MW):</w:t>
      </w:r>
    </w:p>
    <w:p>
      <w:pPr>
        <w:spacing w:after="16" w:before="16"/>
        <w:ind w:left="240"/>
      </w:pPr>
      <w:r>
        <w:rPr>
          <w:rFonts w:ascii="Arial" w:cs="Arial" w:eastAsia="Arial" w:hAnsi="Arial"/>
          <w:b/>
          <w:bCs/>
          <w:i w:val="false"/>
          <w:iCs w:val="false"/>
          <w:sz w:val="17"/>
          <w:szCs w:val="17"/>
        </w:rPr>
        <w:t xml:space="preserve">• Inversión: USD 14 millones · LCOE: USD 62/MWh</w:t>
      </w:r>
    </w:p>
    <w:p>
      <w:pPr>
        <w:spacing w:after="16" w:before="16"/>
        <w:ind w:left="240"/>
      </w:pPr>
      <w:r>
        <w:rPr>
          <w:rFonts w:ascii="Arial" w:cs="Arial" w:eastAsia="Arial" w:hAnsi="Arial"/>
          <w:b/>
          <w:bCs/>
          <w:i w:val="false"/>
          <w:iCs w:val="false"/>
          <w:sz w:val="17"/>
          <w:szCs w:val="17"/>
        </w:rPr>
        <w:t xml:space="preserve">• Factor de capacidad: 28% · Vida útil: 20 años</w:t>
      </w:r>
    </w:p>
    <w:p>
      <w:pPr>
        <w:spacing w:after="40" w:before="120"/>
      </w:pPr>
      <w:r>
        <w:rPr>
          <w:rFonts w:ascii="Arial" w:cs="Arial" w:eastAsia="Arial" w:hAnsi="Arial"/>
          <w:b/>
          <w:bCs/>
          <w:color w:val="1F4E79"/>
          <w:sz w:val="18"/>
          <w:szCs w:val="18"/>
        </w:rPr>
        <w:t xml:space="preserve">17. </w:t>
      </w:r>
      <w:r>
        <w:rPr>
          <w:rFonts w:ascii="Arial" w:cs="Arial" w:eastAsia="Arial" w:hAnsi="Arial"/>
          <w:sz w:val="18"/>
          <w:szCs w:val="18"/>
        </w:rPr>
        <w:t xml:space="preserve">¿Cuál proyecto seleccionaría y con qué criterio técnico-económico principal justifica la decisión?</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Opción B (Eólica) – Aunque tiene mayor inversión y LCOE, genera más energía real por su factor de capacidad del 28% vs 18%, resultando en mejor retorno a largo plazo</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Opción A (Solar) – Menor inversión inicial (USD 8M vs USD 14M) y menor LCOE (45 vs 62 USD/MWh) hacen que sea más rentable y accesible para el municipio</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Ninguna de las dos – Boyacá tiene alto potencial hidráulico que supera a ambas opciones en costo y confiabilidad</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Opción A (Solar) pero solo si el municipio no tiene conexión a la red eléctrica nacional, de lo contrario se descarta</w:t>
      </w:r>
    </w:p>
    <w:p>
      <w:pPr>
        <w:spacing w:after="0" w:before="40"/>
      </w:pPr>
      <w:r>
        <w:rPr>
          <w:rFonts w:ascii="Arial" w:cs="Arial" w:eastAsia="Arial" w:hAnsi="Arial"/>
          <w:sz w:val="18"/>
          <w:szCs w:val="18"/>
        </w:rPr>
        <w:t xml:space="preserve"/>
      </w:r>
    </w:p>
    <w:p>
      <w:pPr>
        <w:spacing w:after="16" w:before="16"/>
        <w:ind w:left="0"/>
      </w:pPr>
      <w:r>
        <w:rPr>
          <w:rFonts w:ascii="Arial" w:cs="Arial" w:eastAsia="Arial" w:hAnsi="Arial"/>
          <w:b w:val="false"/>
          <w:bCs w:val="false"/>
          <w:i/>
          <w:iCs/>
          <w:sz w:val="17"/>
          <w:szCs w:val="17"/>
        </w:rPr>
        <w:t xml:space="preserve">ESCENARIO ESG Y REGULATORIO: Una empresa quiere instalar 50 MW de energía solar en el departamento de Cesar. La comunidad indígena Yukpa habita en la zona de influencia del proyecto. La ANLA exige consulta previa.</w:t>
      </w:r>
    </w:p>
    <w:p>
      <w:pPr>
        <w:spacing w:after="40" w:before="120"/>
      </w:pPr>
      <w:r>
        <w:rPr>
          <w:rFonts w:ascii="Arial" w:cs="Arial" w:eastAsia="Arial" w:hAnsi="Arial"/>
          <w:b/>
          <w:bCs/>
          <w:color w:val="1F4E79"/>
          <w:sz w:val="18"/>
          <w:szCs w:val="18"/>
        </w:rPr>
        <w:t xml:space="preserve">18. </w:t>
      </w:r>
      <w:r>
        <w:rPr>
          <w:rFonts w:ascii="Arial" w:cs="Arial" w:eastAsia="Arial" w:hAnsi="Arial"/>
          <w:sz w:val="18"/>
          <w:szCs w:val="18"/>
        </w:rPr>
        <w:t xml:space="preserve">¿Cuál es la decisión más adecuada bajo criterios ESG (Ambiental, Social y de Gobernanza)?</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Avanzar con el proyecto sin consulta previa, argumentando que la energía solar no genera impacto ambiental significativo al ser una fuente limpia</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Reubicar el proyecto en una zona sin comunidades indígenas para evitar la consulta previa y acelerar la obtención de la licencia ambiental</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Realizar la consulta previa, libre e informada con la comunidad Yukpa, incorporar sus observaciones al diseño y establecer acuerdos de beneficios compartidos</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Pagar una compensación económica individual a los líderes comunitarios para obtener su firma de conformidad y agilizar el proceso</w:t>
      </w:r>
    </w:p>
    <w:p>
      <w:pPr>
        <w:spacing w:after="0" w:before="40"/>
      </w:pPr>
      <w:r>
        <w:rPr>
          <w:rFonts w:ascii="Arial" w:cs="Arial" w:eastAsia="Arial" w:hAnsi="Arial"/>
          <w:sz w:val="18"/>
          <w:szCs w:val="18"/>
        </w:rPr>
        <w:t xml:space="preserve"/>
      </w:r>
    </w:p>
    <w:p>
      <w:pPr>
        <w:shd w:fill="1F4E79" w:val="clear"/>
        <w:spacing w:after="80" w:before="180"/>
        <w:ind w:left="80" w:right="80"/>
      </w:pPr>
      <w:r>
        <w:rPr>
          <w:rFonts w:ascii="Arial" w:cs="Arial" w:eastAsia="Arial" w:hAnsi="Arial"/>
          <w:b/>
          <w:bCs/>
          <w:color w:val="FFFFFF"/>
          <w:sz w:val="19"/>
          <w:szCs w:val="19"/>
        </w:rPr>
        <w:t xml:space="preserve">FASE V – Toma de Decisiones: Explotación Petrolera</w:t>
      </w:r>
      <w:r>
        <w:rPr>
          <w:rFonts w:ascii="Arial" w:cs="Arial" w:eastAsia="Arial" w:hAnsi="Arial"/>
          <w:color w:val="D0E8FF"/>
          <w:sz w:val="17"/>
          <w:szCs w:val="17"/>
        </w:rPr>
        <w:t xml:space="preserve">  [1.25 pt · 0.3125 c/u]</w:t>
      </w:r>
    </w:p>
    <w:p>
      <w:pPr>
        <w:spacing w:after="16" w:before="16"/>
        <w:ind w:left="0"/>
      </w:pPr>
      <w:r>
        <w:rPr>
          <w:rFonts w:ascii="Arial" w:cs="Arial" w:eastAsia="Arial" w:hAnsi="Arial"/>
          <w:b w:val="false"/>
          <w:bCs w:val="false"/>
          <w:i/>
          <w:iCs/>
          <w:sz w:val="17"/>
          <w:szCs w:val="17"/>
        </w:rPr>
        <w:t xml:space="preserve">ESCENARIO DE VIABILIDAD: Se evalúa el descubrimiento 'Campo Esperanza':</w:t>
      </w:r>
    </w:p>
    <w:p>
      <w:pPr>
        <w:spacing w:after="16" w:before="16"/>
        <w:ind w:left="240"/>
      </w:pPr>
      <w:r>
        <w:rPr>
          <w:rFonts w:ascii="Arial" w:cs="Arial" w:eastAsia="Arial" w:hAnsi="Arial"/>
          <w:b/>
          <w:bCs/>
          <w:i w:val="false"/>
          <w:iCs w:val="false"/>
          <w:sz w:val="17"/>
          <w:szCs w:val="17"/>
        </w:rPr>
        <w:t xml:space="preserve">• Reservas probadas: 45 MMBBL · Profundidad: 3.800 m (tierra firme)</w:t>
      </w:r>
    </w:p>
    <w:p>
      <w:pPr>
        <w:spacing w:after="16" w:before="16"/>
        <w:ind w:left="240"/>
      </w:pPr>
      <w:r>
        <w:rPr>
          <w:rFonts w:ascii="Arial" w:cs="Arial" w:eastAsia="Arial" w:hAnsi="Arial"/>
          <w:b/>
          <w:bCs/>
          <w:i w:val="false"/>
          <w:iCs w:val="false"/>
          <w:sz w:val="17"/>
          <w:szCs w:val="17"/>
        </w:rPr>
        <w:t xml:space="preserve">• Gravedad API: 27° · Precio WTI: USD 65/bbl</w:t>
      </w:r>
    </w:p>
    <w:p>
      <w:pPr>
        <w:spacing w:after="16" w:before="16"/>
        <w:ind w:left="240"/>
      </w:pPr>
      <w:r>
        <w:rPr>
          <w:rFonts w:ascii="Arial" w:cs="Arial" w:eastAsia="Arial" w:hAnsi="Arial"/>
          <w:b/>
          <w:bCs/>
          <w:i w:val="false"/>
          <w:iCs w:val="false"/>
          <w:sz w:val="17"/>
          <w:szCs w:val="17"/>
        </w:rPr>
        <w:t xml:space="preserve">• Costo de producción estimado: USD 22/bbl</w:t>
      </w:r>
    </w:p>
    <w:p>
      <w:pPr>
        <w:spacing w:after="16" w:before="16"/>
        <w:ind w:left="240"/>
      </w:pPr>
      <w:r>
        <w:rPr>
          <w:rFonts w:ascii="Arial" w:cs="Arial" w:eastAsia="Arial" w:hAnsi="Arial"/>
          <w:b/>
          <w:bCs/>
          <w:i w:val="false"/>
          <w:iCs w:val="false"/>
          <w:sz w:val="17"/>
          <w:szCs w:val="17"/>
        </w:rPr>
        <w:t xml:space="preserve">• Inversión de desarrollo: USD 380 millones · Retorno estimado: 7 años</w:t>
      </w:r>
    </w:p>
    <w:p>
      <w:pPr>
        <w:spacing w:after="40" w:before="120"/>
      </w:pPr>
      <w:r>
        <w:rPr>
          <w:rFonts w:ascii="Arial" w:cs="Arial" w:eastAsia="Arial" w:hAnsi="Arial"/>
          <w:b/>
          <w:bCs/>
          <w:color w:val="1F4E79"/>
          <w:sz w:val="18"/>
          <w:szCs w:val="18"/>
        </w:rPr>
        <w:t xml:space="preserve">19. </w:t>
      </w:r>
      <w:r>
        <w:rPr>
          <w:rFonts w:ascii="Arial" w:cs="Arial" w:eastAsia="Arial" w:hAnsi="Arial"/>
          <w:sz w:val="18"/>
          <w:szCs w:val="18"/>
        </w:rPr>
        <w:t xml:space="preserve">¿Cuál es la conclusión sobre la viabilidad del proyecto?</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No viable – Las reservas de 45 MMBBL son insuficientes para justificar una inversión de USD 380 millones en Colombia</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Viable con condiciones – El margen de USD 43/bbl (65-22) sobre 45 MMBBL genera un ingreso bruto de USD ~1.935M, superando ampliamente la inversión. Se recomienda avanzar con plan de desarrollo</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Viable solo si el precio WTI sube a USD 90/bbl, ya que el precio actual no cubre los costos operativos y de inversión</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No viable – El crudo de 27° API es pesado y no tiene mercado en la refinería de Barrancabermeja</w:t>
      </w:r>
    </w:p>
    <w:p>
      <w:pPr>
        <w:spacing w:after="0" w:before="40"/>
      </w:pPr>
      <w:r>
        <w:rPr>
          <w:rFonts w:ascii="Arial" w:cs="Arial" w:eastAsia="Arial" w:hAnsi="Arial"/>
          <w:sz w:val="18"/>
          <w:szCs w:val="18"/>
        </w:rPr>
        <w:t xml:space="preserve"/>
      </w:r>
    </w:p>
    <w:p>
      <w:pPr>
        <w:spacing w:after="16" w:before="16"/>
        <w:ind w:left="0"/>
      </w:pPr>
      <w:r>
        <w:rPr>
          <w:rFonts w:ascii="Arial" w:cs="Arial" w:eastAsia="Arial" w:hAnsi="Arial"/>
          <w:b w:val="false"/>
          <w:bCs w:val="false"/>
          <w:i/>
          <w:iCs/>
          <w:sz w:val="17"/>
          <w:szCs w:val="17"/>
        </w:rPr>
        <w:t xml:space="preserve">ESCENARIO DE RECUPERACIÓN MEJORADA: El 'Campo Venado' lleva 15 años en producción:</w:t>
      </w:r>
    </w:p>
    <w:p>
      <w:pPr>
        <w:spacing w:after="16" w:before="16"/>
        <w:ind w:left="240"/>
      </w:pPr>
      <w:r>
        <w:rPr>
          <w:rFonts w:ascii="Arial" w:cs="Arial" w:eastAsia="Arial" w:hAnsi="Arial"/>
          <w:b/>
          <w:bCs/>
          <w:i w:val="false"/>
          <w:iCs w:val="false"/>
          <w:sz w:val="17"/>
          <w:szCs w:val="17"/>
        </w:rPr>
        <w:t xml:space="preserve">• Factor de recobro primario alcanzado: 22%</w:t>
      </w:r>
    </w:p>
    <w:p>
      <w:pPr>
        <w:spacing w:after="16" w:before="16"/>
        <w:ind w:left="240"/>
      </w:pPr>
      <w:r>
        <w:rPr>
          <w:rFonts w:ascii="Arial" w:cs="Arial" w:eastAsia="Arial" w:hAnsi="Arial"/>
          <w:b/>
          <w:bCs/>
          <w:i w:val="false"/>
          <w:iCs w:val="false"/>
          <w:sz w:val="17"/>
          <w:szCs w:val="17"/>
        </w:rPr>
        <w:t xml:space="preserve">• Presión de yacimiento actual: 850 PSI (era 2.400 PSI al inicio)</w:t>
      </w:r>
    </w:p>
    <w:p>
      <w:pPr>
        <w:spacing w:after="16" w:before="16"/>
        <w:ind w:left="240"/>
      </w:pPr>
      <w:r>
        <w:rPr>
          <w:rFonts w:ascii="Arial" w:cs="Arial" w:eastAsia="Arial" w:hAnsi="Arial"/>
          <w:b/>
          <w:bCs/>
          <w:i w:val="false"/>
          <w:iCs w:val="false"/>
          <w:sz w:val="17"/>
          <w:szCs w:val="17"/>
        </w:rPr>
        <w:t xml:space="preserve">• Crudo: 35° API, viscosidad baja · Temperatura: 180°F · Permeabilidad: 85 mD</w:t>
      </w:r>
    </w:p>
    <w:p>
      <w:pPr>
        <w:spacing w:after="16" w:before="16"/>
        <w:ind w:left="240"/>
      </w:pPr>
      <w:r>
        <w:rPr>
          <w:rFonts w:ascii="Arial" w:cs="Arial" w:eastAsia="Arial" w:hAnsi="Arial"/>
          <w:b/>
          <w:bCs/>
          <w:i w:val="false"/>
          <w:iCs w:val="false"/>
          <w:sz w:val="17"/>
          <w:szCs w:val="17"/>
        </w:rPr>
        <w:t xml:space="preserve">• Mecanismo de empuje original: expansión de gas disuelto</w:t>
      </w:r>
    </w:p>
    <w:p>
      <w:pPr>
        <w:spacing w:after="40" w:before="120"/>
      </w:pPr>
      <w:r>
        <w:rPr>
          <w:rFonts w:ascii="Arial" w:cs="Arial" w:eastAsia="Arial" w:hAnsi="Arial"/>
          <w:b/>
          <w:bCs/>
          <w:color w:val="1F4E79"/>
          <w:sz w:val="18"/>
          <w:szCs w:val="18"/>
        </w:rPr>
        <w:t xml:space="preserve">20. </w:t>
      </w:r>
      <w:r>
        <w:rPr>
          <w:rFonts w:ascii="Arial" w:cs="Arial" w:eastAsia="Arial" w:hAnsi="Arial"/>
          <w:sz w:val="18"/>
          <w:szCs w:val="18"/>
        </w:rPr>
        <w:t xml:space="preserve">¿Cuál método de Recuperación Mejorada de Petróleo (EOR) es el más adecuado?</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Inyección de vapor (térmica) – Ideal para reducir viscosidad de crudos pesados menores a 15° API</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Inyección de agua (waterflood) – Recuperación secundaria que restaura la presión y desplaza el crudo residual hacia los pozos productores</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Inyección de polímeros (EOR químico) – Para crudos muy viscosos donde el agua tiene mala eficiencia de barrido</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SAGD (Steam Assisted Gravity Drainage) – Para crudos extrapesados en yacimientos someros con arenas no consolidadas</w:t>
      </w:r>
    </w:p>
    <w:p>
      <w:pPr>
        <w:spacing w:after="0" w:before="40"/>
      </w:pPr>
      <w:r>
        <w:rPr>
          <w:rFonts w:ascii="Arial" w:cs="Arial" w:eastAsia="Arial" w:hAnsi="Arial"/>
          <w:sz w:val="18"/>
          <w:szCs w:val="18"/>
        </w:rPr>
        <w:t xml:space="preserve"/>
      </w:r>
    </w:p>
    <w:p>
      <w:pPr>
        <w:spacing w:after="16" w:before="16"/>
        <w:ind w:left="0"/>
      </w:pPr>
      <w:r>
        <w:rPr>
          <w:rFonts w:ascii="Arial" w:cs="Arial" w:eastAsia="Arial" w:hAnsi="Arial"/>
          <w:b w:val="false"/>
          <w:bCs w:val="false"/>
          <w:i/>
          <w:iCs/>
          <w:sz w:val="17"/>
          <w:szCs w:val="17"/>
        </w:rPr>
        <w:t xml:space="preserve">ESCENARIO GEOLÓGICO – TIPO DE PERFORACIÓN: Bloque CPO-17, trampa estratigráfica:</w:t>
      </w:r>
    </w:p>
    <w:p>
      <w:pPr>
        <w:spacing w:after="16" w:before="16"/>
        <w:ind w:left="240"/>
      </w:pPr>
      <w:r>
        <w:rPr>
          <w:rFonts w:ascii="Arial" w:cs="Arial" w:eastAsia="Arial" w:hAnsi="Arial"/>
          <w:b/>
          <w:bCs/>
          <w:i w:val="false"/>
          <w:iCs w:val="false"/>
          <w:sz w:val="17"/>
          <w:szCs w:val="17"/>
        </w:rPr>
        <w:t xml:space="preserve">• Espesor neto de la zona de pago: 8 metros</w:t>
      </w:r>
    </w:p>
    <w:p>
      <w:pPr>
        <w:spacing w:after="16" w:before="16"/>
        <w:ind w:left="240"/>
      </w:pPr>
      <w:r>
        <w:rPr>
          <w:rFonts w:ascii="Arial" w:cs="Arial" w:eastAsia="Arial" w:hAnsi="Arial"/>
          <w:b/>
          <w:bCs/>
          <w:i w:val="false"/>
          <w:iCs w:val="false"/>
          <w:sz w:val="17"/>
          <w:szCs w:val="17"/>
        </w:rPr>
        <w:t xml:space="preserve">• Extensión lateral del yacimiento: 3,5 km</w:t>
      </w:r>
    </w:p>
    <w:p>
      <w:pPr>
        <w:spacing w:after="16" w:before="16"/>
        <w:ind w:left="240"/>
      </w:pPr>
      <w:r>
        <w:rPr>
          <w:rFonts w:ascii="Arial" w:cs="Arial" w:eastAsia="Arial" w:hAnsi="Arial"/>
          <w:b/>
          <w:bCs/>
          <w:i w:val="false"/>
          <w:iCs w:val="false"/>
          <w:sz w:val="17"/>
          <w:szCs w:val="17"/>
        </w:rPr>
        <w:t xml:space="preserve">• Profundidad: 4.100 m · Permeabilidad: 12 mD (moderada-baja)</w:t>
      </w:r>
    </w:p>
    <w:p>
      <w:pPr>
        <w:spacing w:after="16" w:before="16"/>
        <w:ind w:left="240"/>
      </w:pPr>
      <w:r>
        <w:rPr>
          <w:rFonts w:ascii="Arial" w:cs="Arial" w:eastAsia="Arial" w:hAnsi="Arial"/>
          <w:b/>
          <w:bCs/>
          <w:i w:val="false"/>
          <w:iCs w:val="false"/>
          <w:sz w:val="17"/>
          <w:szCs w:val="17"/>
        </w:rPr>
        <w:t xml:space="preserve">• Se requiere el mayor contacto posible entre el pozo y el reservorio</w:t>
      </w:r>
    </w:p>
    <w:p>
      <w:pPr>
        <w:spacing w:after="40" w:before="120"/>
      </w:pPr>
      <w:r>
        <w:rPr>
          <w:rFonts w:ascii="Arial" w:cs="Arial" w:eastAsia="Arial" w:hAnsi="Arial"/>
          <w:b/>
          <w:bCs/>
          <w:color w:val="1F4E79"/>
          <w:sz w:val="18"/>
          <w:szCs w:val="18"/>
        </w:rPr>
        <w:t xml:space="preserve">21. </w:t>
      </w:r>
      <w:r>
        <w:rPr>
          <w:rFonts w:ascii="Arial" w:cs="Arial" w:eastAsia="Arial" w:hAnsi="Arial"/>
          <w:sz w:val="18"/>
          <w:szCs w:val="18"/>
        </w:rPr>
        <w:t xml:space="preserve">¿Qué tipo de perforación maximiza el contacto con el reservorio delgado y extenso?</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Perforación vertical convencional – Corta el reservorio en solo 8 metros de longitud</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Perforación multipozo vertical desde plataforma central (cluster drilling)</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Perforación horizontal – El pozo se desvía hasta quedar paralelo al reservorio, pudiendo recorrer hasta 2.000–3.500 m dentro de los 8 m de espesor productivo</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Perforación vertical con fracturamiento hidráulico masivo – Crea grietas verticales para compensar el poco espesor</w:t>
      </w:r>
    </w:p>
    <w:p>
      <w:pPr>
        <w:spacing w:after="0" w:before="40"/>
      </w:pPr>
      <w:r>
        <w:rPr>
          <w:rFonts w:ascii="Arial" w:cs="Arial" w:eastAsia="Arial" w:hAnsi="Arial"/>
          <w:sz w:val="18"/>
          <w:szCs w:val="18"/>
        </w:rPr>
        <w:t xml:space="preserve"/>
      </w:r>
    </w:p>
    <w:p>
      <w:pPr>
        <w:spacing w:after="16" w:before="16"/>
        <w:ind w:left="0"/>
      </w:pPr>
      <w:r>
        <w:rPr>
          <w:rFonts w:ascii="Arial" w:cs="Arial" w:eastAsia="Arial" w:hAnsi="Arial"/>
          <w:b w:val="false"/>
          <w:bCs w:val="false"/>
          <w:i/>
          <w:iCs/>
          <w:sz w:val="17"/>
          <w:szCs w:val="17"/>
        </w:rPr>
        <w:t xml:space="preserve">ESCENARIO ESTRATÉGICO – DEPENDENCIA HIDROELÉCTRICA: Colombia genera el 70% de electricidad de centrales hidráulicas. En El Niño 2015-2016, embalses bajaron al 30% de capacidad.</w:t>
      </w:r>
    </w:p>
    <w:p>
      <w:pPr>
        <w:spacing w:after="16" w:before="16"/>
        <w:ind w:left="240"/>
      </w:pPr>
      <w:r>
        <w:rPr>
          <w:rFonts w:ascii="Arial" w:cs="Arial" w:eastAsia="Arial" w:hAnsi="Arial"/>
          <w:b/>
          <w:bCs/>
          <w:i w:val="false"/>
          <w:iCs w:val="false"/>
          <w:sz w:val="17"/>
          <w:szCs w:val="17"/>
        </w:rPr>
        <w:t xml:space="preserve">• Capacidad instalada: 17.000 MW (70% hidráulica)</w:t>
      </w:r>
    </w:p>
    <w:p>
      <w:pPr>
        <w:spacing w:after="16" w:before="16"/>
        <w:ind w:left="240"/>
      </w:pPr>
      <w:r>
        <w:rPr>
          <w:rFonts w:ascii="Arial" w:cs="Arial" w:eastAsia="Arial" w:hAnsi="Arial"/>
          <w:b/>
          <w:bCs/>
          <w:i w:val="false"/>
          <w:iCs w:val="false"/>
          <w:sz w:val="17"/>
          <w:szCs w:val="17"/>
        </w:rPr>
        <w:t xml:space="preserve">• Déficit proyectado en temporada seca: 3.500 MW</w:t>
      </w:r>
    </w:p>
    <w:p>
      <w:pPr>
        <w:spacing w:after="16" w:before="16"/>
        <w:ind w:left="240"/>
      </w:pPr>
      <w:r>
        <w:rPr>
          <w:rFonts w:ascii="Arial" w:cs="Arial" w:eastAsia="Arial" w:hAnsi="Arial"/>
          <w:b/>
          <w:bCs/>
          <w:i w:val="false"/>
          <w:iCs w:val="false"/>
          <w:sz w:val="17"/>
          <w:szCs w:val="17"/>
        </w:rPr>
        <w:t xml:space="preserve">• Zonas disponibles: altiplano cundiboyacense y costa Caribe</w:t>
      </w:r>
    </w:p>
    <w:p>
      <w:pPr>
        <w:spacing w:after="16" w:before="16"/>
        <w:ind w:left="240"/>
      </w:pPr>
      <w:r>
        <w:rPr>
          <w:rFonts w:ascii="Arial" w:cs="Arial" w:eastAsia="Arial" w:hAnsi="Arial"/>
          <w:b/>
          <w:bCs/>
          <w:i w:val="false"/>
          <w:iCs w:val="false"/>
          <w:sz w:val="17"/>
          <w:szCs w:val="17"/>
        </w:rPr>
        <w:t xml:space="preserve">• Presupuesto de inversión estatal: USD 2.000 millones · Plazo: 5–8 años</w:t>
      </w:r>
    </w:p>
    <w:p>
      <w:pPr>
        <w:spacing w:after="40" w:before="120"/>
      </w:pPr>
      <w:r>
        <w:rPr>
          <w:rFonts w:ascii="Arial" w:cs="Arial" w:eastAsia="Arial" w:hAnsi="Arial"/>
          <w:b/>
          <w:bCs/>
          <w:color w:val="1F4E79"/>
          <w:sz w:val="18"/>
          <w:szCs w:val="18"/>
        </w:rPr>
        <w:t xml:space="preserve">22. </w:t>
      </w:r>
      <w:r>
        <w:rPr>
          <w:rFonts w:ascii="Arial" w:cs="Arial" w:eastAsia="Arial" w:hAnsi="Arial"/>
          <w:sz w:val="18"/>
          <w:szCs w:val="18"/>
        </w:rPr>
        <w:t xml:space="preserve">Como asesor del Ministerio de Minas y Energía, ¿cuál proyecto de diversificación energética es el más adecuado para reducir la dependencia hidroeléctrica y garantizar la seguridad del suministro?</w:t>
      </w:r>
    </w:p>
    <w:p>
      <w:pPr>
        <w:spacing w:after="18" w:before="18"/>
        <w:ind w:left="200"/>
      </w:pPr>
      <w:r>
        <w:rPr>
          <w:rFonts w:ascii="Arial" w:cs="Arial" w:eastAsia="Arial" w:hAnsi="Arial"/>
          <w:b/>
          <w:bCs/>
          <w:color w:val="1F4E79"/>
          <w:sz w:val="17"/>
          <w:szCs w:val="17"/>
        </w:rPr>
        <w:t xml:space="preserve">A) </w:t>
      </w:r>
      <w:r>
        <w:rPr>
          <w:rFonts w:ascii="Arial" w:cs="Arial" w:eastAsia="Arial" w:hAnsi="Arial"/>
          <w:sz w:val="17"/>
          <w:szCs w:val="17"/>
        </w:rPr>
        <w:t xml:space="preserve">Construir más represas hidroeléctricas de menor tamaño (PCH) distribuidas en ríos secundarios para descentralizar la generación hidráulica</w:t>
      </w:r>
    </w:p>
    <w:p>
      <w:pPr>
        <w:spacing w:after="18" w:before="18"/>
        <w:ind w:left="200"/>
      </w:pPr>
      <w:r>
        <w:rPr>
          <w:rFonts w:ascii="Arial" w:cs="Arial" w:eastAsia="Arial" w:hAnsi="Arial"/>
          <w:b/>
          <w:bCs/>
          <w:color w:val="1F4E79"/>
          <w:sz w:val="17"/>
          <w:szCs w:val="17"/>
        </w:rPr>
        <w:t xml:space="preserve">B) </w:t>
      </w:r>
      <w:r>
        <w:rPr>
          <w:rFonts w:ascii="Arial" w:cs="Arial" w:eastAsia="Arial" w:hAnsi="Arial"/>
          <w:sz w:val="17"/>
          <w:szCs w:val="17"/>
        </w:rPr>
        <w:t xml:space="preserve">Desarrollar un programa combinado de parques eólicos en La Guajira (2.000 MW) y granjas solares en la costa Caribe y altiplano (1.500 MW), complementados con almacenamiento por baterías a gran escala</w:t>
      </w:r>
    </w:p>
    <w:p>
      <w:pPr>
        <w:spacing w:after="18" w:before="18"/>
        <w:ind w:left="200"/>
      </w:pPr>
      <w:r>
        <w:rPr>
          <w:rFonts w:ascii="Arial" w:cs="Arial" w:eastAsia="Arial" w:hAnsi="Arial"/>
          <w:b/>
          <w:bCs/>
          <w:color w:val="1F4E79"/>
          <w:sz w:val="17"/>
          <w:szCs w:val="17"/>
        </w:rPr>
        <w:t xml:space="preserve">C) </w:t>
      </w:r>
      <w:r>
        <w:rPr>
          <w:rFonts w:ascii="Arial" w:cs="Arial" w:eastAsia="Arial" w:hAnsi="Arial"/>
          <w:sz w:val="17"/>
          <w:szCs w:val="17"/>
        </w:rPr>
        <w:t xml:space="preserve">Instalar centrales termoeléctricas a carbón en la costa Caribe, ya que Colombia tiene grandes reservas en Cesar y La Guajira</w:t>
      </w:r>
    </w:p>
    <w:p>
      <w:pPr>
        <w:spacing w:after="18" w:before="18"/>
        <w:ind w:left="200"/>
      </w:pPr>
      <w:r>
        <w:rPr>
          <w:rFonts w:ascii="Arial" w:cs="Arial" w:eastAsia="Arial" w:hAnsi="Arial"/>
          <w:b/>
          <w:bCs/>
          <w:color w:val="1F4E79"/>
          <w:sz w:val="17"/>
          <w:szCs w:val="17"/>
        </w:rPr>
        <w:t xml:space="preserve">D) </w:t>
      </w:r>
      <w:r>
        <w:rPr>
          <w:rFonts w:ascii="Arial" w:cs="Arial" w:eastAsia="Arial" w:hAnsi="Arial"/>
          <w:sz w:val="17"/>
          <w:szCs w:val="17"/>
        </w:rPr>
        <w:t xml:space="preserve">Importar electricidad desde Ecuador y Venezuela a través de interconexiones existentes para cubrir el déficit durante El Niño</w:t>
      </w:r>
    </w:p>
    <w:p>
      <w:pPr>
        <w:spacing w:after="0" w:before="40"/>
      </w:pPr>
      <w:r>
        <w:rPr>
          <w:rFonts w:ascii="Arial" w:cs="Arial" w:eastAsia="Arial" w:hAnsi="Arial"/>
          <w:sz w:val="18"/>
          <w:szCs w:val="18"/>
        </w:rPr>
        <w:t xml:space="preserve"/>
      </w:r>
    </w:p>
    <w:sectPr>
      <w:headerReference w:type="default" r:id="rId7"/>
      <w:pgSz w:w="11906" w:h="16838" w:orient="portrait"/>
      <w:pgMar w:top="864" w:right="720" w:bottom="864" w:left="720" w:header="708" w:footer="708" w:gutter="0"/>
      <w:pgNumType/>
      <w:cols w:space="40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spacing w:after="80"/>
    </w:pPr>
    <w:r>
      <w:rPr>
        <w:rFonts w:ascii="Arial" w:cs="Arial" w:eastAsia="Arial" w:hAnsi="Arial"/>
        <w:color w:val="555555"/>
        <w:sz w:val="16"/>
        <w:szCs w:val="16"/>
      </w:rPr>
      <w:t xml:space="preserve">Parcial Procesos Industriales 1 – UNIPAZ  |  Nombre: ____________________________  Código: ___________________</w:t>
    </w:r>
    <w:r>
      <w:rPr>
        <w:rFonts w:ascii="Arial" w:cs="Arial" w:eastAsia="Arial" w:hAnsi="Arial"/>
        <w:sz w:val="16"/>
        <w:szCs w:val="16"/>
      </w:rPr>
      <w:t xml:space="preserve">	</w:t>
    </w:r>
    <w:r>
      <w:rPr>
        <w:rFonts w:ascii="Arial" w:cs="Arial" w:eastAsia="Arial" w:hAnsi="Arial"/>
        <w:color w:val="555555"/>
        <w:sz w:val="16"/>
        <w:szCs w:val="16"/>
      </w:rPr>
      <w:t xml:space="preserve">Pág. </w:t>
    </w:r>
    <w:r>
      <w:rPr>
        <w:rFonts w:ascii="Arial" w:cs="Arial" w:eastAsia="Arial" w:hAnsi="Arial"/>
        <w:color w:val="555555"/>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2026-03-20T11:53:31.313Z</dcterms:created>
  <dcterms:modified xsi:type="dcterms:W3CDTF">2026-03-20T11:53:31.315Z</dcterms:modified>
</cp:coreProperties>
</file>

<file path=docProps/custom.xml><?xml version="1.0" encoding="utf-8"?>
<Properties xmlns="http://schemas.openxmlformats.org/officeDocument/2006/custom-properties" xmlns:vt="http://schemas.openxmlformats.org/officeDocument/2006/docPropsVTypes"/>
</file>