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57B5E"/>
          <w:sz w:val="22"/>
        </w:rPr>
        <w:t>INFORME DE RESULTADOS</w:t>
      </w:r>
    </w:p>
    <w:p>
      <w:pPr>
        <w:jc w:val="center"/>
      </w:pPr>
      <w:r>
        <w:rPr>
          <w:b/>
          <w:color w:val="1B0E05"/>
          <w:sz w:val="40"/>
        </w:rPr>
        <w:t>Evaluación de la plataforma 3D de unidades de refinación</w:t>
        <w:br/>
        <w:t>y las presentaciones interactivas</w:t>
      </w:r>
    </w:p>
    <w:p>
      <w:pPr>
        <w:jc w:val="center"/>
      </w:pPr>
      <w:r>
        <w:rPr>
          <w:i/>
          <w:color w:val="957B5E"/>
          <w:sz w:val="24"/>
        </w:rPr>
        <w:t>Trabajo de investigación · Maestría · UNIPAZ</w:t>
      </w:r>
    </w:p>
    <w:p/>
    <w:p/>
    <w:p>
      <w:pPr>
        <w:pStyle w:val="Heading2"/>
      </w:pPr>
      <w:r>
        <w:rPr>
          <w:rFonts w:ascii="Calibri" w:hAnsi="Calibri"/>
          <w:color w:val="FF5C39"/>
        </w:rPr>
        <w:t>Ficha técnica del estudio</w:t>
      </w:r>
    </w:p>
    <w:p>
      <w:r>
        <w:rPr>
          <w:b/>
        </w:rPr>
        <w:t xml:space="preserve">Instrumento: </w:t>
      </w:r>
      <w:r>
        <w:t>Encuesta estructurada tipo Likert (escala 1-5)</w:t>
      </w:r>
    </w:p>
    <w:p>
      <w:r>
        <w:rPr>
          <w:b/>
        </w:rPr>
        <w:t xml:space="preserve">Población: </w:t>
      </w:r>
      <w:r>
        <w:t>Estudiantes de Ingeniería de Producción, 6° semestre</w:t>
      </w:r>
    </w:p>
    <w:p>
      <w:r>
        <w:rPr>
          <w:b/>
        </w:rPr>
        <w:t xml:space="preserve">Tamaño muestral: </w:t>
      </w:r>
      <w:r>
        <w:t>n = 12 estudiantes</w:t>
      </w:r>
    </w:p>
    <w:p>
      <w:r>
        <w:rPr>
          <w:b/>
        </w:rPr>
        <w:t xml:space="preserve">Fecha de aplicación: </w:t>
      </w:r>
      <w:r>
        <w:t>05 de junio de 2026</w:t>
      </w:r>
    </w:p>
    <w:p>
      <w:r>
        <w:rPr>
          <w:b/>
        </w:rPr>
        <w:t xml:space="preserve">Ítems totales: </w:t>
      </w:r>
      <w:r>
        <w:t>25 (18 Likert + 5 perfil + 2 abiertas)</w:t>
      </w:r>
    </w:p>
    <w:p>
      <w:r>
        <w:rPr>
          <w:b/>
        </w:rPr>
        <w:t xml:space="preserve">Dimensiones evaluadas: </w:t>
      </w:r>
      <w:r>
        <w:t>3 (Plataforma 3D · Presentaciones · Aprendizaje percibido)</w:t>
      </w:r>
    </w:p>
    <w:p>
      <w:r>
        <w:rPr>
          <w:b/>
        </w:rPr>
        <w:t xml:space="preserve">Curso: </w:t>
      </w:r>
      <w:r>
        <w:t>Procesos Industriales 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5C39"/>
        </w:rPr>
        <w:t>1. Resumen ejecutivo</w:t>
      </w:r>
    </w:p>
    <w:p>
      <w:r>
        <w:rPr>
          <w:b w:val="0"/>
          <w:i w:val="0"/>
          <w:sz w:val="22"/>
        </w:rPr>
        <w:t>La evaluación arroja valoraciones consistentemente altas en las tres dimensiones del instrumento. Los promedios superan ampliamente el punto medio teórico de la escala (M = 3.0), ubicándose en el rango interpretativo de "de acuerdo" a "totalmente de acuerdo".</w:t>
      </w:r>
    </w:p>
    <w:p>
      <w:pPr>
        <w:pStyle w:val="Heading2"/>
      </w:pPr>
      <w:r>
        <w:rPr>
          <w:rFonts w:ascii="Calibri" w:hAnsi="Calibri"/>
          <w:color w:val="1B0E05"/>
        </w:rPr>
        <w:t>Indicadores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Media (M)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Desv. Estándar (DE)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α de Cronbach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Plataforma 3D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4.51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1.03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0.988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Presentaciones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4.51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0.94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0.986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Aprendizaje percibido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4.38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1.08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0.977</w:t>
            </w:r>
          </w:p>
        </w:tc>
      </w:tr>
    </w:tbl>
    <w:p>
      <w:pPr>
        <w:pStyle w:val="Heading2"/>
      </w:pPr>
      <w:r>
        <w:rPr>
          <w:rFonts w:ascii="Calibri" w:hAnsi="Calibri"/>
          <w:color w:val="1B0E05"/>
        </w:rPr>
        <w:t>Conclusiones clave</w:t>
      </w:r>
    </w:p>
    <w:p>
      <w:pPr>
        <w:pStyle w:val="ListNumber"/>
      </w:pPr>
      <w:r>
        <w:t>Las dos modalidades (3D y presentaciones) son percibidas como equivalentes en valor (M = 4.51 en ambas), lo que respalda la hipótesis de complementariedad del diseño didáctico.</w:t>
      </w:r>
    </w:p>
    <w:p>
      <w:pPr>
        <w:pStyle w:val="ListNumber"/>
      </w:pPr>
      <w:r>
        <w:t>El ítem mejor valorado es la intención de recomendar el visor 3D (M = 4.75; el 83.3% otorgó la puntuación máxima).</w:t>
      </w:r>
    </w:p>
    <w:p>
      <w:pPr>
        <w:pStyle w:val="ListNumber"/>
      </w:pPr>
      <w:r>
        <w:t>Los ítems con menor puntuación pertenecen a la dimensión Aprendizaje: comprensión de la relación entre unidades (M = 4.25) y comprensión general (M = 4.33), aún dentro del rango "muy de acuerdo".</w:t>
      </w:r>
    </w:p>
    <w:p>
      <w:pPr>
        <w:pStyle w:val="ListNumber"/>
      </w:pPr>
      <w:r>
        <w:t>La consistencia interna de las escalas es excelente en las tres dimensiones (α &gt; 0.97), con las consideraciones reportadas en el apartado de limitaciones.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B5BA"/>
        </w:rPr>
        <w:t>2. Metodología</w:t>
      </w:r>
    </w:p>
    <w:p>
      <w:r>
        <w:rPr>
          <w:b w:val="0"/>
          <w:i w:val="0"/>
          <w:sz w:val="22"/>
        </w:rPr>
        <w:t>El estudio empleó un diseño descriptivo de corte transversal con enfoque cuantitativo y un componente cualitativo complementario para las preguntas abiertas.</w:t>
      </w:r>
    </w:p>
    <w:p>
      <w:pPr>
        <w:pStyle w:val="Heading2"/>
      </w:pPr>
      <w:r>
        <w:rPr>
          <w:rFonts w:ascii="Calibri" w:hAnsi="Calibri"/>
          <w:color w:val="1B0E05"/>
        </w:rPr>
        <w:t>2.1 Instrumento</w:t>
      </w:r>
    </w:p>
    <w:p>
      <w:pPr>
        <w:pStyle w:val="ListBullet"/>
      </w:pPr>
      <w:r>
        <w:t>25 ítems organizados en cinco bloques: Perfil (5), Plataforma 3D (7), Presentaciones (7), Aprendizaje percibido (4) y Comentarios abiertos (2).</w:t>
      </w:r>
    </w:p>
    <w:p>
      <w:pPr>
        <w:pStyle w:val="ListBullet"/>
      </w:pPr>
      <w:r>
        <w:t>Escala Likert de 5 niveles en los bloques 2-4: 1 = Totalmente en desacuerdo; 5 = Totalmente de acuerdo.</w:t>
      </w:r>
    </w:p>
    <w:p>
      <w:pPr>
        <w:pStyle w:val="ListBullet"/>
      </w:pPr>
      <w:r>
        <w:t>Aplicación digital autoadministrada vía formulario HTML responsive; almacenamiento en base de datos PostgreSQL (Supabase).</w:t>
      </w:r>
    </w:p>
    <w:p>
      <w:pPr>
        <w:pStyle w:val="Heading2"/>
      </w:pPr>
      <w:r>
        <w:rPr>
          <w:rFonts w:ascii="Calibri" w:hAnsi="Calibri"/>
          <w:color w:val="1B0E05"/>
        </w:rPr>
        <w:t>2.2 Procedimiento ético</w:t>
      </w:r>
    </w:p>
    <w:p>
      <w:pPr>
        <w:pStyle w:val="ListBullet"/>
      </w:pPr>
      <w:r>
        <w:t>Consentimiento informado al inicio del instrumento.</w:t>
      </w:r>
    </w:p>
    <w:p>
      <w:pPr>
        <w:pStyle w:val="ListBullet"/>
      </w:pPr>
      <w:r>
        <w:t>Tratamiento de datos personales conforme a la Ley 1581 de 2012 (Habeas Data, Colombia).</w:t>
      </w:r>
    </w:p>
    <w:p>
      <w:pPr>
        <w:pStyle w:val="ListBullet"/>
      </w:pPr>
      <w:r>
        <w:t>Participación voluntaria y respuestas tratadas exclusivamente de forma agregada.</w:t>
      </w:r>
    </w:p>
    <w:p>
      <w:pPr>
        <w:pStyle w:val="Heading2"/>
      </w:pPr>
      <w:r>
        <w:rPr>
          <w:rFonts w:ascii="Calibri" w:hAnsi="Calibri"/>
          <w:color w:val="1B0E05"/>
        </w:rPr>
        <w:t>2.3 Procesamiento de datos</w:t>
      </w:r>
    </w:p>
    <w:p>
      <w:pPr>
        <w:pStyle w:val="ListBullet"/>
      </w:pPr>
      <w:r>
        <w:t>Cálculo de estadísticos descriptivos (M, Mdn, Mo, DE, mín, máx) por ítem y por dimensión.</w:t>
      </w:r>
    </w:p>
    <w:p>
      <w:pPr>
        <w:pStyle w:val="ListBullet"/>
      </w:pPr>
      <w:r>
        <w:t>Análisis de confiabilidad mediante el coeficiente Alfa de Cronbach para cada dimensión.</w:t>
      </w:r>
    </w:p>
    <w:p>
      <w:pPr>
        <w:pStyle w:val="ListBullet"/>
      </w:pPr>
      <w:r>
        <w:t>Codificación temática inductiva para las respuestas a las preguntas abiertas.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81D7A"/>
        </w:rPr>
        <w:t>3. Caracterización de la muestra</w:t>
      </w:r>
    </w:p>
    <w:p>
      <w:r>
        <w:rPr>
          <w:b w:val="0"/>
          <w:i w:val="0"/>
          <w:sz w:val="22"/>
        </w:rPr>
        <w:t>La muestra está conformada por 12 estudiantes del programa de Ingeniería de Producción, todos cursando sexto semestre del curso Procesos Industriales 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Género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Femenino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41.7%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Masculino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58.3%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Experiencia con 3D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No, primera vez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58.3%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Sí, alguna vez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25.0%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Sí, varias veces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16.7%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Conocimiento previo en refinación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Básico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58.3%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Intermedio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41.7%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FF5C39"/>
        </w:rPr>
        <w:t>4. Análisis descriptivo por dimensión</w:t>
      </w:r>
    </w:p>
    <w:p>
      <w:r>
        <w:rPr>
          <w:b w:val="0"/>
          <w:i w:val="0"/>
          <w:sz w:val="22"/>
        </w:rPr>
        <w:t>Se presentan medias, mediana, desviación estándar y coeficiente Alfa de Cronbach para cada una de las tres dimensiones evaluadas.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20"/>
              </w:rPr>
              <w:t>k (ítems)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20"/>
              </w:rPr>
              <w:t>M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20"/>
              </w:rPr>
              <w:t>Mdn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20"/>
              </w:rPr>
              <w:t>DE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20"/>
              </w:rPr>
              <w:t>α de Cronbach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20"/>
              </w:rPr>
              <w:t>Plataforma 3D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4.51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1.03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0.988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20"/>
              </w:rPr>
              <w:t>Presentaciones interactivas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4.51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4.93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0.94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0.986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20"/>
              </w:rPr>
              <w:t>Aprendizaje percibido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4.38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4.88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1.08</w:t>
            </w:r>
          </w:p>
        </w:tc>
        <w:tc>
          <w:tcPr>
            <w:tcW w:type="dxa" w:w="1568"/>
          </w:tcPr>
          <w:p>
            <w:r/>
            <w:r>
              <w:rPr>
                <w:sz w:val="20"/>
              </w:rPr>
              <w:t>0.977</w:t>
            </w:r>
          </w:p>
        </w:tc>
      </w:tr>
    </w:tbl>
    <w:p>
      <w:pPr>
        <w:ind w:left="170"/>
      </w:pPr>
      <w:r>
        <w:rPr>
          <w:b/>
          <w:color w:val="0FB5BA"/>
        </w:rPr>
        <w:t xml:space="preserve">Interpretación de α: </w:t>
      </w:r>
      <w:r>
        <w:t>los tres valores superan el umbral de confiabilidad excelente (α ≥ 0.90). Esto sugiere que los ítems de cada dimensión miden un constructo coherente. Ver consideraciones en el apartado de limitaciones.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81D7A"/>
        </w:rPr>
        <w:t>5. Análisis estadístico ítem por ítem</w:t>
      </w:r>
    </w:p>
    <w:p>
      <w:pPr>
        <w:pStyle w:val="Heading2"/>
      </w:pPr>
      <w:r>
        <w:rPr>
          <w:rFonts w:ascii="Calibri" w:hAnsi="Calibri"/>
          <w:color w:val="1B0E05"/>
        </w:rPr>
        <w:t>5.1 Dimensión 1: Plataforma 3D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b/>
                <w:sz w:val="20"/>
              </w:rPr>
              <w:t>Ítem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Mdn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Mo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DE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Mín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Máx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06. Fácil aprender a usar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4.50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1.17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07. Interfaz clara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4.50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1.17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08. Funciona con fluidez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4.42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1.16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09. Modelos representan con realismo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4.42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1.16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10. Etiquetas son útiles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4.50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1.17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11. Motivó a aprender más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4.50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0.90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12. Recomendaría a otros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4.75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0.62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</w:tbl>
    <w:p>
      <w:pPr>
        <w:pStyle w:val="Heading2"/>
      </w:pPr>
      <w:r>
        <w:rPr>
          <w:rFonts w:ascii="Calibri" w:hAnsi="Calibri"/>
          <w:color w:val="1B0E05"/>
        </w:rPr>
        <w:t>5.2 Dimensión 2: Presentaciones interactivas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b/>
                <w:sz w:val="20"/>
              </w:rPr>
              <w:t>Ítem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Mdn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Mo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DE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Mín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Máx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13. Explicaciones claras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4.42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0.90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14. Animaciones ayudan a entender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4.67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0.89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15. Diseño visual atractivo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4.58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1.16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16. Ritmo adecuado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4.50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0.90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17. Funciona en mobile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4.42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1.16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18. Complementan al 3D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4.50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0.90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19. Volvería a consultar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4.50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0.90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</w:tbl>
    <w:p>
      <w:pPr>
        <w:pStyle w:val="Heading2"/>
      </w:pPr>
      <w:r>
        <w:rPr>
          <w:rFonts w:ascii="Calibri" w:hAnsi="Calibri"/>
          <w:color w:val="1B0E05"/>
        </w:rPr>
        <w:t>5.3 Dimensión 3: Aprendizaje percibido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b/>
                <w:sz w:val="20"/>
              </w:rPr>
              <w:t>Ítem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Mdn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Mo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DE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Mín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Máx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20. Comprendo mejor el flujo general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4.33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0.89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21. Identifico la relación entre unidades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4.25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1.22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22. Más efectiva que método tradicional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4.42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1.16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23. Recomendaría incorporarlo al curso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4.50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1.17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6B2D8E"/>
        </w:rPr>
        <w:t>6. Distribución de frecuencias por nivel Likert</w:t>
      </w:r>
    </w:p>
    <w:p>
      <w:r>
        <w:rPr>
          <w:b w:val="0"/>
          <w:i w:val="0"/>
          <w:sz w:val="22"/>
        </w:rPr>
        <w:t>El patrón de respuestas muestra una fuerte asimetría positiva: más del 75% de las respuestas se concentran en los niveles 4 ("de acuerdo") y 5 ("totalmente de acuerdo") en las tres dimensiones.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1 (TD)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2 (D)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3 (N)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4 (A)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5 (TA)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Total resp.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Plataforma 3D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 (4.8%)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 (1.2%)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 (1.2%)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16 (19.0%)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62 (73.8%)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84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Presentaciones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2 (2.4%)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 (6.0%)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0 (0.0%)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18 (21.4%)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59 (70.2%)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84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Aprendizaje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3 (6.3%)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 (2.1%)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 (2.1%)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10 (20.8%)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33 (68.8%)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48</w:t>
            </w:r>
          </w:p>
        </w:tc>
      </w:tr>
    </w:tbl>
    <w:p>
      <w:r>
        <w:rPr>
          <w:b w:val="0"/>
          <w:i/>
          <w:sz w:val="18"/>
        </w:rPr>
        <w:t>Nota: TD = Totalmente en desacuerdo · D = En desacuerdo · N = Neutral · A = De acuerdo · TA = Totalmente de acuerdo.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B5BA"/>
        </w:rPr>
        <w:t>7. Análisis cualitativo de respuestas abiertas</w:t>
      </w:r>
    </w:p>
    <w:p>
      <w:r>
        <w:rPr>
          <w:b w:val="0"/>
          <w:i w:val="0"/>
          <w:sz w:val="22"/>
        </w:rPr>
        <w:t>Se aplicó codificación temática inductiva a las respuestas de los ítems 24 ("lo que más gustó") y 25 ("mejoras"). Las categorías emergieron del análisis del contenido de las respuestas.</w:t>
      </w:r>
    </w:p>
    <w:p>
      <w:pPr>
        <w:pStyle w:val="Heading2"/>
      </w:pPr>
      <w:r>
        <w:rPr>
          <w:rFonts w:ascii="Calibri" w:hAnsi="Calibri"/>
          <w:color w:val="1B0E05"/>
        </w:rPr>
        <w:t>7.1 Pregunta 24 · ¿Qué fue lo que más te gustó?</w:t>
      </w:r>
    </w:p>
    <w:p>
      <w:r>
        <w:rPr>
          <w:b/>
          <w:i w:val="0"/>
          <w:sz w:val="22"/>
        </w:rPr>
        <w:t>Categorías emergentes y frecuencia de menciones: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Categoría temática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Menciones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Visualización gráfica del proceso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Comprensión y aprendizaje activo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Interactividad y manipulación de modelos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Diseño visual y facilidad de uso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Acceso a equipos no disponibles físicamente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</w:t>
            </w:r>
          </w:p>
        </w:tc>
      </w:tr>
    </w:tbl>
    <w:p>
      <w:r>
        <w:rPr>
          <w:b/>
          <w:i w:val="0"/>
          <w:sz w:val="22"/>
        </w:rPr>
        <w:t>Citas representativas:</w:t>
      </w:r>
    </w:p>
    <w:p>
      <w:pPr>
        <w:ind w:left="454"/>
      </w:pPr>
      <w:r>
        <w:rPr>
          <w:b/>
          <w:color w:val="C81D7A"/>
          <w:sz w:val="20"/>
        </w:rPr>
        <w:t xml:space="preserve">E08 (Femenino, Intermedio): </w:t>
      </w:r>
      <w:r>
        <w:rPr>
          <w:i/>
          <w:sz w:val="20"/>
        </w:rPr>
        <w:t>«Es una alternativa excelente para nosotros como estudiantes ya que es difícil encontrar ese tipo de interacciones más que todo para una clase; ayudan a entender más ya que muchos no hemos visto un equipo en la vida real.»</w:t>
      </w:r>
    </w:p>
    <w:p>
      <w:pPr>
        <w:ind w:left="454"/>
      </w:pPr>
      <w:r>
        <w:rPr>
          <w:b/>
          <w:color w:val="C81D7A"/>
          <w:sz w:val="20"/>
        </w:rPr>
        <w:t xml:space="preserve">E09 (Masculino, Básico): </w:t>
      </w:r>
      <w:r>
        <w:rPr>
          <w:i/>
          <w:sz w:val="20"/>
        </w:rPr>
        <w:t>«Como es una herramienta que puedes manipular como Solidworks, permite que te concentres en puntos concretos a tu ritmo.»</w:t>
      </w:r>
    </w:p>
    <w:p>
      <w:pPr>
        <w:ind w:left="454"/>
      </w:pPr>
      <w:r>
        <w:rPr>
          <w:b/>
          <w:color w:val="C81D7A"/>
          <w:sz w:val="20"/>
        </w:rPr>
        <w:t xml:space="preserve">E07 (Masculino, Básico): </w:t>
      </w:r>
      <w:r>
        <w:rPr>
          <w:i/>
          <w:sz w:val="20"/>
        </w:rPr>
        <w:t>«Ver un prototipo de una unidad atmosférica y torres de destilación y entre otras, donde se veía detalladamente el funcionamiento de cada una.»</w:t>
      </w:r>
    </w:p>
    <w:p>
      <w:pPr>
        <w:ind w:left="454"/>
      </w:pPr>
      <w:r>
        <w:rPr>
          <w:b/>
          <w:color w:val="C81D7A"/>
          <w:sz w:val="20"/>
        </w:rPr>
        <w:t xml:space="preserve">E01 (Femenino, Básico): </w:t>
      </w:r>
      <w:r>
        <w:rPr>
          <w:i/>
          <w:sz w:val="20"/>
        </w:rPr>
        <w:t>«El aprendizaje con ejemplo; muchas veces lo gráfico y con herramientas que podemos manejar alienta mucho el conocimiento.»</w:t>
      </w:r>
    </w:p>
    <w:p>
      <w:pPr>
        <w:pStyle w:val="Heading2"/>
      </w:pPr>
      <w:r>
        <w:rPr>
          <w:rFonts w:ascii="Calibri" w:hAnsi="Calibri"/>
          <w:color w:val="1B0E05"/>
        </w:rPr>
        <w:t>7.2 Pregunta 25 · ¿Qué mejorarías?</w:t>
      </w:r>
    </w:p>
    <w:p>
      <w:r>
        <w:rPr>
          <w:b/>
          <w:i w:val="0"/>
          <w:sz w:val="22"/>
        </w:rPr>
        <w:t>Categorías emergentes y frecuencia de menciones: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Categoría temática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Menciones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Sin sugerencias (satisfacción total)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Rendimiento / velocidad de carga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Mayor interactividad / construcción guiada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Trazabilidad del flujo del proceso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Compatibilidad de navegador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</w:t>
            </w:r>
          </w:p>
        </w:tc>
      </w:tr>
    </w:tbl>
    <w:p>
      <w:r>
        <w:rPr>
          <w:b/>
          <w:i w:val="0"/>
          <w:sz w:val="22"/>
        </w:rPr>
        <w:t>Citas representativas:</w:t>
      </w:r>
    </w:p>
    <w:p>
      <w:pPr>
        <w:ind w:left="454"/>
      </w:pPr>
      <w:r>
        <w:rPr>
          <w:b/>
          <w:color w:val="C81D7A"/>
          <w:sz w:val="20"/>
        </w:rPr>
        <w:t xml:space="preserve">E10 (Femenino, Básico): </w:t>
      </w:r>
      <w:r>
        <w:rPr>
          <w:i/>
          <w:sz w:val="20"/>
        </w:rPr>
        <w:t>«Que tuviera un paso a paso de dónde se inicia el procedimiento, para así entender más de dónde sale y hasta dónde termina.»</w:t>
      </w:r>
    </w:p>
    <w:p>
      <w:pPr>
        <w:ind w:left="454"/>
      </w:pPr>
      <w:r>
        <w:rPr>
          <w:b/>
          <w:color w:val="C81D7A"/>
          <w:sz w:val="20"/>
        </w:rPr>
        <w:t xml:space="preserve">E03 (Masculino, Intermedio): </w:t>
      </w:r>
      <w:r>
        <w:rPr>
          <w:i/>
          <w:sz w:val="20"/>
        </w:rPr>
        <w:t>«Que pudiéramos ver desde cero y hacerlo nosotros.»</w:t>
      </w:r>
    </w:p>
    <w:p>
      <w:pPr>
        <w:ind w:left="454"/>
      </w:pPr>
      <w:r>
        <w:rPr>
          <w:b/>
          <w:color w:val="C81D7A"/>
          <w:sz w:val="20"/>
        </w:rPr>
        <w:t xml:space="preserve">E09 (Masculino, Básico): </w:t>
      </w:r>
      <w:r>
        <w:rPr>
          <w:i/>
          <w:sz w:val="20"/>
        </w:rPr>
        <w:t>«Mostrar cómo circulan los componentes, como el crudo; de resto todo bien.»</w:t>
      </w:r>
    </w:p>
    <w:p>
      <w:pPr>
        <w:ind w:left="454"/>
      </w:pPr>
      <w:r>
        <w:rPr>
          <w:b/>
          <w:color w:val="C81D7A"/>
          <w:sz w:val="20"/>
        </w:rPr>
        <w:t xml:space="preserve">E06 (Masculino, Intermedio): </w:t>
      </w:r>
      <w:r>
        <w:rPr>
          <w:i/>
          <w:sz w:val="20"/>
        </w:rPr>
        <w:t>«Que las presentaciones tengan menos texto y más desarrollo del proceso.»</w:t>
      </w:r>
    </w:p>
    <w:p>
      <w:pPr>
        <w:ind w:left="170"/>
      </w:pPr>
      <w:r>
        <w:rPr>
          <w:b/>
          <w:color w:val="0FB5BA"/>
        </w:rPr>
        <w:t xml:space="preserve">Insight metodológico: </w:t>
      </w:r>
      <w:r>
        <w:t>existe convergencia entre los datos cuantitativos y los cualitativos. El bloque "Aprendizaje" obtuvo la puntuación más baja (M = 4.38) y específicamente el ítem 21 ("identifico la relación entre unidades", M = 4.25). Los comentarios refuerzan esto al solicitar trazabilidad del flujo entre unidades. Esta es una recomendación de mejora respaldada por triangulación de fuentes.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5C39"/>
        </w:rPr>
        <w:t>8. Triangulación: diferencias por experiencia previa</w:t>
      </w:r>
    </w:p>
    <w:p>
      <w:r>
        <w:rPr>
          <w:b w:val="0"/>
          <w:i w:val="0"/>
          <w:sz w:val="22"/>
        </w:rPr>
        <w:t>Comparación de las medias por dimensión según el grado de experiencia previa con herramientas 3D. Dado el tamaño muestral (n = 12), se reporta a nivel descriptivo, no inferencial.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Experiencia previa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M · 3D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M · Presentaciones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M · Aprendizaje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No, primera vez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4.96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4.84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4.71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Sí, alguna vez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4.62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4.62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4.58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Sí, varias veces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2.79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3.07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2.63</w:t>
            </w:r>
          </w:p>
        </w:tc>
      </w:tr>
    </w:tbl>
    <w:p>
      <w:pPr>
        <w:ind w:left="170"/>
      </w:pPr>
      <w:r>
        <w:rPr>
          <w:b/>
          <w:color w:val="C81D7A"/>
        </w:rPr>
        <w:t xml:space="preserve">Observación importante: </w:t>
      </w:r>
      <w:r>
        <w:t>el subgrupo con "varias experiencias previas" (n = 2) presenta promedios marcadamente más bajos. Al inspeccionar los datos individuales, se identifica que un caso (E06) reportó valoraciones extremas (1-2) en casi todos los ítems mientras simultáneamente emitió comentarios positivos en las preguntas abiertas. Este patrón sugiere posible respuesta atípica (extreme low responder) y debe documentarse en limitaciones.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D62828"/>
        </w:rPr>
        <w:t>9. Limitaciones del estudio</w:t>
      </w:r>
    </w:p>
    <w:p>
      <w:pPr>
        <w:pStyle w:val="ListNumber"/>
      </w:pPr>
      <w:r>
        <w:rPr>
          <w:b/>
        </w:rPr>
        <w:t xml:space="preserve">Tamaño muestral reducido (n = 12). </w:t>
      </w:r>
      <w:r>
        <w:t>Los hallazgos deben interpretarse como evaluación piloto. No es posible aplicar pruebas inferenciales con potencia estadística suficiente. Los coeficientes Alfa de Cronbach calculados son referenciales; se recomienda replicar el estudio con n ≥ 30 para obtener valores definitivos.</w:t>
      </w:r>
    </w:p>
    <w:p>
      <w:pPr>
        <w:pStyle w:val="ListNumber"/>
      </w:pPr>
      <w:r>
        <w:rPr>
          <w:b/>
        </w:rPr>
        <w:t xml:space="preserve">Alfa inflado por respuesta atípica. </w:t>
      </w:r>
      <w:r>
        <w:t>La presencia de un respondiente (E06) con puntuaciones extremas bajas distorsiona al alza el cálculo de α al aumentar la varianza total de la escala. Recalcular excluyendo este caso podría dar valores α más realistas; se recomienda análisis de sensibilidad para futuras réplicas.</w:t>
      </w:r>
    </w:p>
    <w:p>
      <w:pPr>
        <w:pStyle w:val="ListNumber"/>
      </w:pPr>
      <w:r>
        <w:rPr>
          <w:b/>
        </w:rPr>
        <w:t xml:space="preserve">Sesgo de aceptabilidad social. </w:t>
      </w:r>
      <w:r>
        <w:t>La aplicación en contexto académico, con la docente como investigadora, puede haber introducido un sesgo hacia respuestas positivas. Trabajos futuros pueden incorporar evaluadores externos o aplicación en ausencia del docente.</w:t>
      </w:r>
    </w:p>
    <w:p>
      <w:pPr>
        <w:pStyle w:val="ListNumber"/>
      </w:pPr>
      <w:r>
        <w:rPr>
          <w:b/>
        </w:rPr>
        <w:t xml:space="preserve">Diseño descriptivo de corte transversal. </w:t>
      </w:r>
      <w:r>
        <w:t>No permite establecer relaciones causales entre el uso de la plataforma y el aprendizaje real. Se sugiere un diseño cuasi-experimental con grupo control y mediciones pre-test/post-test en estudios posteriores.</w:t>
      </w:r>
    </w:p>
    <w:p>
      <w:pPr>
        <w:pStyle w:val="ListNumber"/>
      </w:pPr>
      <w:r>
        <w:rPr>
          <w:b/>
        </w:rPr>
        <w:t xml:space="preserve">Una sola aplicación. </w:t>
      </w:r>
      <w:r>
        <w:t>No se evalúa el posible efecto de novedad. Se recomienda re-aplicar la encuesta tras varios usos para discriminar la evaluación de la herramienta del entusiasmo inicial.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BAE66"/>
        </w:rPr>
        <w:t>10. Conclusiones de la evaluación piloto</w:t>
      </w:r>
    </w:p>
    <w:p>
      <w:pPr>
        <w:pStyle w:val="ListNumber"/>
      </w:pPr>
      <w:r>
        <w:t>La plataforma 3D y las presentaciones interactivas obtienen valoraciones altamente positivas en los estudiantes de Procesos Industriales I, con medias por dimensión entre 4.38 y 4.51 sobre una escala de 5.</w:t>
      </w:r>
    </w:p>
    <w:p>
      <w:pPr>
        <w:pStyle w:val="ListNumber"/>
      </w:pPr>
      <w:r>
        <w:t>La hipótesis de complementariedad de ambos recursos queda respaldada por la equivalencia de medias entre las dimensiones 3D y Presentaciones (M = 4.51 en ambas) y por la valoración explícita del ítem 18 ("complementan al 3D", M = 4.50).</w:t>
      </w:r>
    </w:p>
    <w:p>
      <w:pPr>
        <w:pStyle w:val="ListNumber"/>
      </w:pPr>
      <w:r>
        <w:t>El instrumento presenta excelente consistencia interna en condiciones piloto (α &gt; 0.97 en las tres dimensiones), lo que respalda su uso en estudios de mayor escala con la salvedad indicada en limitaciones.</w:t>
      </w:r>
    </w:p>
    <w:p>
      <w:pPr>
        <w:pStyle w:val="ListNumber"/>
      </w:pPr>
      <w:r>
        <w:t>La triangulación cuanti-cualitativa identifica la trazabilidad del flujo entre unidades como la principal oportunidad de mejora del diseño didáctico, dato que aparece tanto en el ítem 21 (M = 4.25) como en los comentarios abiertos.</w:t>
      </w:r>
    </w:p>
    <w:p>
      <w:pPr>
        <w:pStyle w:val="ListNumber"/>
      </w:pPr>
      <w:r>
        <w:t>Para la siguiente fase del estudio se recomienda: (a) ampliar la muestra a n ≥ 30; (b) implementar las mejoras sugeridas por los estudiantes; (c) aplicar un diseño cuasi-experimental con grupo control; (d) incluir medición objetiva de aprendizaje (no solo percibido) mediante un instrumento de conocimiento.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957B5E"/>
        </w:rPr>
        <w:t>Anexo · Matriz de respuestas individuales</w:t>
      </w:r>
    </w:p>
    <w:p>
      <w:r>
        <w:rPr>
          <w:b w:val="0"/>
          <w:i w:val="0"/>
          <w:sz w:val="22"/>
        </w:rPr>
        <w:t>Datos crudos por estudiante (identificadores anonimizados E01-E12), promedios por dimensión.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Género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Experiencia previa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Nivel previo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 · 3D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 · Pres</w:t>
            </w:r>
          </w:p>
        </w:tc>
        <w:tc>
          <w:tcPr>
            <w:tcW w:type="dxa" w:w="1344"/>
          </w:tcPr>
          <w:p>
            <w:r/>
            <w:r>
              <w:rPr>
                <w:b/>
                <w:sz w:val="20"/>
              </w:rPr>
              <w:t>M · Apr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E01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Primera vez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Básico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E02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Alguna vez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Intermedio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E03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Varias veces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Intermedio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4.14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4.43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4.00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E04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Primera vez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Intermedio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4.86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4.50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E05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Alguna vez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Básico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4.25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E06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Varias veces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Intermedio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1.43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1.71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1.25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E07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Primera vez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Básico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4.86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E08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Primera vez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Intermedio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E09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Alguna vez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Básico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4.86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4.75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E10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Primera vez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Básico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4.71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4.29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3.75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E11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Primera vez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Básico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20"/>
              </w:rPr>
              <w:t>E12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Primera vez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Básico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  <w:tc>
          <w:tcPr>
            <w:tcW w:type="dxa" w:w="1344"/>
          </w:tcPr>
          <w:p>
            <w:r/>
            <w:r>
              <w:rPr>
                <w:sz w:val="20"/>
              </w:rPr>
              <w:t>5.00</w:t>
            </w:r>
          </w:p>
        </w:tc>
      </w:tr>
    </w:tbl>
    <w:p>
      <w:r>
        <w:rPr>
          <w:b w:val="0"/>
          <w:i/>
          <w:sz w:val="18"/>
        </w:rPr>
        <w:t>Nota: la fila E06 corresponde al respondiente con patrón atípico identificado en la sección de limitaciones (sección 9.2).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