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72033"/>
          <w:sz w:val="40"/>
          <w:szCs w:val="40"/>
        </w:rPr>
        <w:t xml:space="preserve">Identidade Visual EPIGE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478"/>
          <w:sz w:val="21"/>
          <w:szCs w:val="21"/>
        </w:rPr>
        <w:t xml:space="preserve">Símbolo, significado, sistema e regras de aplicação.</w:t>
      </w:r>
    </w:p>
    <w:p>
      <w:pPr>
        <w:pBdr>
          <w:bottom w:val="single" w:color="D6DCE8" w:sz="6"/>
        </w:pBdr>
        <w:spacing w:after="220"/>
      </w:pPr>
      <w:r>
        <w:rPr>
          <w:rFonts w:ascii="Calibri" w:cs="Calibri" w:eastAsia="Calibri" w:hAnsi="Calibri"/>
          <w:color w:val="5B6478"/>
          <w:sz w:val="17"/>
          <w:szCs w:val="17"/>
        </w:rPr>
        <w:t xml:space="preserve">Versão 1.0 — agosto de 2026  ·  EPIGE</w:t>
      </w:r>
    </w:p>
    <w:p>
      <w:pPr>
        <w:pBdr>
          <w:top w:val="single" w:color="E8C98A" w:sz="4"/>
          <w:bottom w:val="single" w:color="E8C98A" w:sz="4"/>
          <w:left w:val="single" w:color="E8C98A" w:sz="4"/>
          <w:right w:val="single" w:color="E8C98A" w:sz="4"/>
        </w:pBdr>
        <w:shd w:fill="FFF8E8"/>
        <w:spacing w:after="260"/>
        <w:ind w:left="120" w:right="120"/>
      </w:pPr>
      <w:r>
        <w:rPr>
          <w:rFonts w:ascii="Calibri" w:cs="Calibri" w:eastAsia="Calibri" w:hAnsi="Calibri"/>
          <w:b/>
          <w:bCs/>
          <w:color w:val="7A5407"/>
          <w:sz w:val="17"/>
          <w:szCs w:val="17"/>
        </w:rPr>
        <w:t xml:space="preserve">AVISO  </w:t>
      </w:r>
      <w:r>
        <w:rPr>
          <w:rFonts w:ascii="Calibri" w:cs="Calibri" w:eastAsia="Calibri" w:hAnsi="Calibri"/>
          <w:color w:val="7A5407"/>
          <w:sz w:val="17"/>
          <w:szCs w:val="17"/>
        </w:rPr>
        <w:t xml:space="preserve">Documento de referência de marca. As medições de proporção foram feitas sobre o vetor oficial e estão reproduzidas com os desvios reais.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1. O que o símbolo é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O símbolo EPIGE é um hexágono de cantos arredondados, aberto no lado direito, desenhado em traço espesso e uniforme. Dentro dele, um paralelogramo inclinado forma a barra central. No canto superior direito, um ponto circular destacado completa a composição.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 leitura primária é a letra E, inicial da marca. A leitura secundária, sustentada pelo ponto solto no alto, é o pingo do i de inteligência — a mesma forma carrega as duas iniciais sem que nenhuma precise ser escrita duas vezes.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2. Por que hexágono, e não círculo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O hexágono é a forma que preenche o plano sem desperdício e distribui carga com o mínimo de material. Aparece onde a natureza precisa de eficiência estrutural, e na indústria onde há encaixe modular.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Para uma plataforma de sistemas de gestão, isso não é ornamento: é a afirmação de que as partes se encaixam. Nove referenciais, processos que se conectam, requisitos que se integram. Um círculo comunicaria continuidade; o hexágono comunica estrutura montada.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Este é o erro mais caro a evitar na aplicação da marca: o símbolo nunca deve ser redesenhado, aproximado ou substituído por um círculo aberto.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3. A abertura e a viagem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O traço não fecha. A abertura à direita, na altura do ponto, é o que impede o símbolo de virar emblema de conclusão.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O percurso do traço começa no canto superior direito, desce pelo lado esquerdo e retorna — um movimento que sai, percorre e volta ampliado, sem se fechar sobre si. É a forma gráfica de um sistema de gestão maduro: cada ciclo retorna ao ponto de partida em nível superior, e nunca há um estado final.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O ponto solto no alto marca onde o percurso continua. Não é decoração: é o próximo ciclo, ainda não percorrido.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4. Crescimento sólido e fundamentado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 espessura constante do traço é uma decisão de significado. Traço que afina comunica aceleração e fragilidade; traço uniforme comunica sustentação.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 base do símbolo é tão espessa quanto o topo. Em gestão da qualidade, isso importa: a plataforma existe para construir sistemas que sobrevivem à auditoria e ao tempo, não para prometer atalhos. A marca não deve sugerir velocidade — deve sugerir firmeza.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5. Gradiente: a direção da jornada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O gradiente percorre azul profundo, azul médio, azul esverdeado e verde-água, na diagonal do canto superior esquerdo para o inferior direito.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 leitura é temporal. O azul profundo é o rigor normativo, o ponto de partida, o requisito. O verde-água é o resultado: sistema vivo, operando, gerando valor. A transição entre eles é gradual e sem degrau, porque a maturidade em gestão também é.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O ponto no alto é verde-água puro — a cor de chegada aparecendo antes do percurso. É a promessa visível desde o começo.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6. Cores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Amostradas do arquivo original. O gradiente do símbolo percorre #2B52DC, #3273EE, #4391C7 e #439397. O ponto usa #74D4C1 e a barra interna #3C8589.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Na interface, a paleta se estende: tinta #0B1020 para texto e superfícies escuras, papel #F5F8FC para fundo, azul #2B52DC para ação, verde-água #74D4C1 para confirmação e progresso, âmbar #B4780C para alerta e oportunidade de melhoria, vermelho contido #B23A2F para não conformidade.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Âmbar e vermelho existem para o vocabulário da auditoria e não devem ser usados decorativamente. Quando o usuário vê vermelho na plataforma, significa não conformidade — sempre.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7. A proporção áurea: o que a medição mostrou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O símbolo foi medido em busca de relações áureas. O resultado honesto: ele não foi construído sobre φ.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Testando doze medidas do símbolo contra sete constantes derivadas de φ, quatro razões ficaram a menos de 1% do alvo — a mais notável sendo a largura do anel dividida pela distância do círculo à borda direita, que fica a 0,46% de φ³. Porém uma simulação com medidas aleatórias da mesma ordem de grandeza produz em média doze coincidências abaixo de 2%. Quatro está abaixo do que o acaso já produziria.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 conclusão correta é que essas proximidades são coincidência, não construção. Afirmar o contrário em material de marca seria alegação verificável e falsa — o tipo de coisa que um investidor com olho técnico checa.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 recomendação é outra e mais defensável: não mexer no símbolo, e adotar φ deliberadamente no sistema ao redor dele.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8. φ como sistema, não como alegação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 razão áurea entra na escala tipográfica, no espaçamento e na proporção de layout — decisões novas, onde ela pode ser aplicada de fato.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Escala tipográfica em progressão φ a partir de 15px de corpo: 9, 12, 15, 24, 39, 63. Os tamanhos intermediários usam √φ para os passos curtos.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Espaçamento em progressão φ a partir de 8px: 5, 8, 13, 21, 34, 55. São números de Fibonacci, o que torna a escala fácil de memorizar e aplicar sem tabela.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Proporção de layout: a divisão entre conteúdo e painel lateral segue 1,618 para 1 nas telas largas. A tela de trabalho da plataforma já usa essa relação.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Assim a marca ganha coerência áurea verdadeira, construída onde havia liberdade, sem reescrever a história do símbolo.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9. Tipografia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Família de tela: Inter Tight para títulos e interface, pelo desenho estreito que segura títulos longos em português sem quebrar, e por manter legibilidade em 10px nos rótulos densos da plataforma.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Família monoespaçada: IBM Plex Mono para códigos de documento, números de requisito, medidas e trilhas de auditoria. A escolha é semântica: monoespaçado comunica registro e rastreabilidade, que é exatamente o que um código de RNC representa.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Títulos usam espaçamento entre letras negativo, entre -0,02em e -0,04em. Corpo de texto usa entrelinha 1,6 a 1,72, porque o público lê blocos densos de conteúdo normativo.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10. Assinatura verbal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Conhecer. Orientar. Transformar. Três verbos em ordem de jornada, com ponto final entre eles.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 pontuação é deliberada: são três etapas concluídas, não uma lista de qualidades. Conhecer é o diagnóstico, orientar é o especialista, transformar é o documento e a evidência. A sequência espelha o percurso do traço no símbolo.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 assinatura nunca deve ser reordenada nem ter os pontos substituídos por vírgulas.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11. Aplicação do símbolo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Sempre em SVG embutido, nunca em imagem vinculada ou bitmap. A fidelidade do gradiente e a nitidez dos cantos arredondados dependem disso.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Área de respiro mínima em todos os lados: a altura do ponto circular. Tamanho mínimo: 24px de altura em tela, 8mm em impresso.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Sobre fundo escuro, o símbolo mantém o gradiente original; não usar versão monocromática invertida, porque a direção azul-para-verde é parte do significado.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Vedado: redesenhar como círculo, alterar o ângulo da barra interna, mover ou remover o ponto, aplicar sombra, contorno ou efeito, esticar de forma não proporcional, recolorir fora da paleta.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12. Marca e símbolo juntos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O logotipo EPIGE acompanha o símbolo em peso 850, com espaçamento entre letras de -1px, alinhado pelo centro vertical do símbolo.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O espaço entre símbolo e palavra equivale a um terço da altura do símbolo. A palavra nunca aparece em caixa mista nem com o símbolo dentro de alguma letra.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747B5"/>
          <w:sz w:val="25"/>
          <w:szCs w:val="25"/>
        </w:rPr>
        <w:t xml:space="preserve">13. Tom da interface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A plataforma fala com quem não domina vocabulário normativo. Termo técnico só entra quando necessário, e vem explicado em meia linha.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O produto nunca promete certificação, nunca reproduz texto de norma e nunca finge que a decisão técnica é dele. Essas três recusas são identidade tanto quanto a cor.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color w:val="172033"/>
          <w:sz w:val="21"/>
          <w:szCs w:val="21"/>
        </w:rPr>
        <w:t xml:space="preserve">Erro se comunica com honestidade: quando um agente não alcança o serviço, a interface diz isso em português claro em vez de mostrar conteúdo simulado.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5B8"/>
        <w:sz w:val="16"/>
        <w:szCs w:val="16"/>
      </w:rPr>
      <w:t xml:space="preserve">Página </w:t>
    </w:r>
    <w:r>
      <w:rPr>
        <w:rFonts w:ascii="Calibri" w:cs="Calibri" w:eastAsia="Calibri" w:hAnsi="Calibri"/>
        <w:color w:val="9AA5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AA5B8"/>
        <w:sz w:val="16"/>
        <w:szCs w:val="16"/>
      </w:rPr>
      <w:t xml:space="preserve"> de </w:t>
    </w:r>
    <w:r>
      <w:rPr>
        <w:rFonts w:ascii="Calibri" w:cs="Calibri" w:eastAsia="Calibri" w:hAnsi="Calibri"/>
        <w:color w:val="9AA5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AA5B8"/>
        <w:sz w:val="16"/>
        <w:szCs w:val="16"/>
      </w:rPr>
      <w:t xml:space="preserve">EPIGE · Identidade Visual EPIGE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Identidade Visual EPIGE</dc:title>
  <dc:creator>EPIGE</dc:creator>
  <dc:description>Símbolo, significado, sistema e regras de aplicação.</dc:description>
  <cp:lastModifiedBy>Un-named</cp:lastModifiedBy>
  <cp:revision>1</cp:revision>
  <dcterms:created xsi:type="dcterms:W3CDTF">2026-08-15T01:40:46.756Z</dcterms:created>
  <dcterms:modified xsi:type="dcterms:W3CDTF">2026-08-15T01:40:46.769Z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