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rFonts w:ascii="Century Gothic" w:hAnsi="Century Gothic"/>
          <w:b/>
          <w:color w:val="FC8D42"/>
          <w:sz w:val="96"/>
        </w:rPr>
        <w:t>nosho</w:t>
      </w:r>
    </w:p>
    <w:p>
      <w:pPr>
        <w:jc w:val="center"/>
      </w:pPr>
    </w:p>
    <w:p>
      <w:pPr>
        <w:jc w:val="center"/>
      </w:pPr>
      <w:r>
        <w:rPr>
          <w:color w:val="FC8D42"/>
          <w:sz w:val="28"/>
        </w:rPr>
        <w:t>━━━━━━━━━━━━━━━━━━━━━━━━━━━━━━</w:t>
      </w:r>
    </w:p>
    <w:p>
      <w:pPr>
        <w:jc w:val="center"/>
      </w:pPr>
      <w:r>
        <w:rPr>
          <w:rFonts w:ascii="Century Gothic" w:hAnsi="Century Gothic"/>
          <w:color w:val="1D1D1B"/>
          <w:sz w:val="44"/>
        </w:rPr>
        <w:t>Analyse Financiere &amp; Pipeline Commercial</w:t>
      </w:r>
    </w:p>
    <w:p>
      <w:pPr>
        <w:jc w:val="center"/>
      </w:pPr>
      <w:r>
        <w:rPr>
          <w:rFonts w:ascii="Marianne" w:hAnsi="Marianne"/>
          <w:color w:val="1D1D1B"/>
          <w:sz w:val="28"/>
        </w:rPr>
        <w:t>Board Review — Mars 2026</w:t>
      </w:r>
    </w:p>
    <w:p>
      <w:pPr>
        <w:jc w:val="center"/>
      </w:pPr>
      <w:r>
        <w:rPr>
          <w:rFonts w:ascii="Marianne" w:hAnsi="Marianne"/>
          <w:color w:val="666664"/>
          <w:sz w:val="24"/>
        </w:rPr>
        <w:t>7 mois post-creation (28 aout 2025)</w:t>
      </w:r>
    </w:p>
    <w:p>
      <w:pPr>
        <w:jc w:val="center"/>
      </w:pPr>
      <w:r>
        <w:rPr>
          <w:rFonts w:ascii="Marianne" w:hAnsi="Marianne"/>
          <w:color w:val="999997"/>
          <w:sz w:val="20"/>
        </w:rPr>
        <w:t>Sources : Mollie Payments + CRM Nosho</w:t>
      </w:r>
    </w:p>
    <w:p>
      <w:r>
        <w:br w:type="page"/>
      </w:r>
    </w:p>
    <w:p>
      <w:pPr>
        <w:pStyle w:val="Heading1"/>
      </w:pPr>
      <w:r>
        <w:t>Sommaire</w:t>
      </w:r>
    </w:p>
    <w:p>
      <w:pPr>
        <w:spacing w:after="80"/>
      </w:pPr>
      <w:r>
        <w:rPr>
          <w:rFonts w:ascii="Marianne" w:hAnsi="Marianne"/>
          <w:sz w:val="24"/>
        </w:rPr>
        <w:t>1. KPIs Financiers — Vue d'ensemble</w:t>
      </w:r>
    </w:p>
    <w:p>
      <w:pPr>
        <w:spacing w:after="80"/>
      </w:pPr>
      <w:r>
        <w:rPr>
          <w:rFonts w:ascii="Marianne" w:hAnsi="Marianne"/>
          <w:sz w:val="24"/>
        </w:rPr>
        <w:t>2. Modele de Revenue — Hybride Abo + Usage</w:t>
      </w:r>
    </w:p>
    <w:p>
      <w:pPr>
        <w:spacing w:after="80"/>
      </w:pPr>
      <w:r>
        <w:rPr>
          <w:rFonts w:ascii="Marianne" w:hAnsi="Marianne"/>
          <w:sz w:val="24"/>
        </w:rPr>
        <w:t>3. Pipeline Commercial — Analyse CRM</w:t>
      </w:r>
    </w:p>
    <w:p>
      <w:pPr>
        <w:spacing w:after="80"/>
      </w:pPr>
      <w:r>
        <w:rPr>
          <w:rFonts w:ascii="Marianne" w:hAnsi="Marianne"/>
          <w:sz w:val="24"/>
        </w:rPr>
        <w:t>4. Le virage strategique — Shift Upmarket</w:t>
      </w:r>
    </w:p>
    <w:p>
      <w:pPr>
        <w:spacing w:after="80"/>
      </w:pPr>
      <w:r>
        <w:rPr>
          <w:rFonts w:ascii="Marianne" w:hAnsi="Marianne"/>
          <w:sz w:val="24"/>
        </w:rPr>
        <w:t>5. Projections MRR — Scenarios Q2 2026</w:t>
      </w:r>
    </w:p>
    <w:p>
      <w:pPr>
        <w:spacing w:after="80"/>
      </w:pPr>
      <w:r>
        <w:rPr>
          <w:rFonts w:ascii="Marianne" w:hAnsi="Marianne"/>
          <w:sz w:val="24"/>
        </w:rPr>
        <w:t>6. Benchmarks SaaS B2B</w:t>
      </w:r>
    </w:p>
    <w:p>
      <w:pPr>
        <w:spacing w:after="80"/>
      </w:pPr>
      <w:r>
        <w:rPr>
          <w:rFonts w:ascii="Marianne" w:hAnsi="Marianne"/>
          <w:sz w:val="24"/>
        </w:rPr>
        <w:t>7. Risques &amp; Recommandations</w:t>
      </w:r>
    </w:p>
    <w:p>
      <w:pPr>
        <w:spacing w:after="80"/>
      </w:pPr>
      <w:r>
        <w:rPr>
          <w:rFonts w:ascii="Marianne" w:hAnsi="Marianne"/>
          <w:sz w:val="24"/>
        </w:rPr>
        <w:t>8. Verdict</w:t>
      </w:r>
    </w:p>
    <w:p>
      <w:r>
        <w:br w:type="page"/>
      </w:r>
    </w:p>
    <w:p>
      <w:pPr>
        <w:pStyle w:val="Heading1"/>
      </w:pPr>
      <w:r>
        <w:t>1. KPIs Financiers — Vue d'ensemble</w:t>
      </w:r>
    </w:p>
    <w:p>
      <w:r>
        <w:rPr>
          <w:rFonts w:ascii="Marianne" w:hAnsi="Marianne"/>
        </w:rPr>
        <w:t>Nosho a ete creee le 28 aout 2025. En 7 mois d'activite, la societe a atteint les metriques suivantes, extraites directement des donnees de paiement Mollie :</w:t>
      </w:r>
    </w:p>
    <w:tbl>
      <w:tblPr>
        <w:tblW w:type="auto" w:w="0"/>
        <w:jc w:val="center"/>
        <w:tblLook w:firstColumn="1" w:firstRow="1" w:lastColumn="0" w:lastRow="0" w:noHBand="0" w:noVBand="1" w:val="04A0"/>
        <w:tblBorders>
          <w:top w:val="single" w:sz="4" w:space="0" w:color="FC8D42"/>
          <w:bottom w:val="single" w:sz="4" w:space="0" w:color="FC8D42"/>
          <w:insideH w:val="single" w:sz="2" w:space="0" w:color="E8E8E5"/>
        </w:tblBorders>
      </w:tblPr>
      <w:tblGrid>
        <w:gridCol w:w="2880"/>
        <w:gridCol w:w="2880"/>
        <w:gridCol w:w="2880"/>
      </w:tblGrid>
      <w:tr>
        <w:tc>
          <w:tcPr>
            <w:tcW w:type="dxa" w:w="2880"/>
            <w:shd w:fill="FC8D42"/>
          </w:tcPr>
          <w:p>
            <w:r>
              <w:rPr>
                <w:rFonts w:ascii="Marianne" w:hAnsi="Marianne"/>
                <w:b/>
                <w:color w:val="FFFFFF"/>
                <w:sz w:val="20"/>
              </w:rPr>
              <w:t>Metrique</w:t>
            </w:r>
          </w:p>
        </w:tc>
        <w:tc>
          <w:tcPr>
            <w:tcW w:type="dxa" w:w="2880"/>
            <w:shd w:fill="FC8D42"/>
          </w:tcPr>
          <w:p>
            <w:r>
              <w:rPr>
                <w:rFonts w:ascii="Marianne" w:hAnsi="Marianne"/>
                <w:b/>
                <w:color w:val="FFFFFF"/>
                <w:sz w:val="20"/>
              </w:rPr>
              <w:t>Valeur</w:t>
            </w:r>
          </w:p>
        </w:tc>
        <w:tc>
          <w:tcPr>
            <w:tcW w:type="dxa" w:w="2880"/>
            <w:shd w:fill="FC8D42"/>
          </w:tcPr>
          <w:p>
            <w:r>
              <w:rPr>
                <w:rFonts w:ascii="Marianne" w:hAnsi="Marianne"/>
                <w:b/>
                <w:color w:val="FFFFFF"/>
                <w:sz w:val="20"/>
              </w:rPr>
              <w:t>Commentaire</w:t>
            </w:r>
          </w:p>
        </w:tc>
      </w:tr>
      <w:tr>
        <w:tc>
          <w:tcPr>
            <w:tcW w:type="dxa" w:w="2880"/>
            <w:shd w:fill="FEF0E4"/>
          </w:tcPr>
          <w:p>
            <w:r>
              <w:rPr>
                <w:rFonts w:ascii="Marianne" w:hAnsi="Marianne"/>
                <w:color w:val="1D1D1B"/>
                <w:sz w:val="20"/>
              </w:rPr>
              <w:t>MRR</w:t>
            </w:r>
          </w:p>
        </w:tc>
        <w:tc>
          <w:tcPr>
            <w:tcW w:type="dxa" w:w="2880"/>
            <w:shd w:fill="FEF0E4"/>
          </w:tcPr>
          <w:p>
            <w:r>
              <w:rPr>
                <w:rFonts w:ascii="Marianne" w:hAnsi="Marianne"/>
                <w:color w:val="1D1D1B"/>
                <w:sz w:val="20"/>
              </w:rPr>
              <w:t>2 028 EUR</w:t>
            </w:r>
          </w:p>
        </w:tc>
        <w:tc>
          <w:tcPr>
            <w:tcW w:type="dxa" w:w="2880"/>
            <w:shd w:fill="FEF0E4"/>
          </w:tcPr>
          <w:p>
            <w:r>
              <w:rPr>
                <w:rFonts w:ascii="Marianne" w:hAnsi="Marianne"/>
                <w:color w:val="1D1D1B"/>
                <w:sz w:val="20"/>
              </w:rPr>
              <w:t>Somme des abonnements mensuels actifs</w:t>
            </w:r>
          </w:p>
        </w:tc>
      </w:tr>
      <w:tr>
        <w:tc>
          <w:tcPr>
            <w:tcW w:type="dxa" w:w="2880"/>
          </w:tcPr>
          <w:p>
            <w:r>
              <w:rPr>
                <w:rFonts w:ascii="Marianne" w:hAnsi="Marianne"/>
                <w:color w:val="1D1D1B"/>
                <w:sz w:val="20"/>
              </w:rPr>
              <w:t>ARR</w:t>
            </w:r>
          </w:p>
        </w:tc>
        <w:tc>
          <w:tcPr>
            <w:tcW w:type="dxa" w:w="2880"/>
          </w:tcPr>
          <w:p>
            <w:r>
              <w:rPr>
                <w:rFonts w:ascii="Marianne" w:hAnsi="Marianne"/>
                <w:color w:val="1D1D1B"/>
                <w:sz w:val="20"/>
              </w:rPr>
              <w:t>24 339 EUR</w:t>
            </w:r>
          </w:p>
        </w:tc>
        <w:tc>
          <w:tcPr>
            <w:tcW w:type="dxa" w:w="2880"/>
          </w:tcPr>
          <w:p>
            <w:r>
              <w:rPr>
                <w:rFonts w:ascii="Marianne" w:hAnsi="Marianne"/>
                <w:color w:val="1D1D1B"/>
                <w:sz w:val="20"/>
              </w:rPr>
              <w:t>MRR x 12</w:t>
            </w:r>
          </w:p>
        </w:tc>
      </w:tr>
      <w:tr>
        <w:tc>
          <w:tcPr>
            <w:tcW w:type="dxa" w:w="2880"/>
            <w:shd w:fill="FEF0E4"/>
          </w:tcPr>
          <w:p>
            <w:r>
              <w:rPr>
                <w:rFonts w:ascii="Marianne" w:hAnsi="Marianne"/>
                <w:color w:val="1D1D1B"/>
                <w:sz w:val="20"/>
              </w:rPr>
              <w:t>Clients actifs</w:t>
            </w:r>
          </w:p>
        </w:tc>
        <w:tc>
          <w:tcPr>
            <w:tcW w:type="dxa" w:w="2880"/>
            <w:shd w:fill="FEF0E4"/>
          </w:tcPr>
          <w:p>
            <w:r>
              <w:rPr>
                <w:rFonts w:ascii="Marianne" w:hAnsi="Marianne"/>
                <w:color w:val="1D1D1B"/>
                <w:sz w:val="20"/>
              </w:rPr>
              <w:t>38</w:t>
            </w:r>
          </w:p>
        </w:tc>
        <w:tc>
          <w:tcPr>
            <w:tcW w:type="dxa" w:w="2880"/>
            <w:shd w:fill="FEF0E4"/>
          </w:tcPr>
          <w:p>
            <w:r>
              <w:rPr>
                <w:rFonts w:ascii="Marianne" w:hAnsi="Marianne"/>
                <w:color w:val="1D1D1B"/>
                <w:sz w:val="20"/>
              </w:rPr>
              <w:t>Organisations avec subscription active</w:t>
            </w:r>
          </w:p>
        </w:tc>
      </w:tr>
      <w:tr>
        <w:tc>
          <w:tcPr>
            <w:tcW w:type="dxa" w:w="2880"/>
          </w:tcPr>
          <w:p>
            <w:r>
              <w:rPr>
                <w:rFonts w:ascii="Marianne" w:hAnsi="Marianne"/>
                <w:color w:val="1D1D1B"/>
                <w:sz w:val="20"/>
              </w:rPr>
              <w:t>ARPU (plan)</w:t>
            </w:r>
          </w:p>
        </w:tc>
        <w:tc>
          <w:tcPr>
            <w:tcW w:type="dxa" w:w="2880"/>
          </w:tcPr>
          <w:p>
            <w:r>
              <w:rPr>
                <w:rFonts w:ascii="Marianne" w:hAnsi="Marianne"/>
                <w:color w:val="1D1D1B"/>
                <w:sz w:val="20"/>
              </w:rPr>
              <w:t>53 EUR/mois</w:t>
            </w:r>
          </w:p>
        </w:tc>
        <w:tc>
          <w:tcPr>
            <w:tcW w:type="dxa" w:w="2880"/>
          </w:tcPr>
          <w:p>
            <w:r>
              <w:rPr>
                <w:rFonts w:ascii="Marianne" w:hAnsi="Marianne"/>
                <w:color w:val="1D1D1B"/>
                <w:sz w:val="20"/>
              </w:rPr>
              <w:t>MRR / nb clients</w:t>
            </w:r>
          </w:p>
        </w:tc>
      </w:tr>
      <w:tr>
        <w:tc>
          <w:tcPr>
            <w:tcW w:type="dxa" w:w="2880"/>
            <w:shd w:fill="FEF0E4"/>
          </w:tcPr>
          <w:p>
            <w:r>
              <w:rPr>
                <w:rFonts w:ascii="Marianne" w:hAnsi="Marianne"/>
                <w:color w:val="1D1D1B"/>
                <w:sz w:val="20"/>
              </w:rPr>
              <w:t>Revenue total</w:t>
            </w:r>
          </w:p>
        </w:tc>
        <w:tc>
          <w:tcPr>
            <w:tcW w:type="dxa" w:w="2880"/>
            <w:shd w:fill="FEF0E4"/>
          </w:tcPr>
          <w:p>
            <w:r>
              <w:rPr>
                <w:rFonts w:ascii="Marianne" w:hAnsi="Marianne"/>
                <w:color w:val="1D1D1B"/>
                <w:sz w:val="20"/>
              </w:rPr>
              <w:t>10 717 EUR</w:t>
            </w:r>
          </w:p>
        </w:tc>
        <w:tc>
          <w:tcPr>
            <w:tcW w:type="dxa" w:w="2880"/>
            <w:shd w:fill="FEF0E4"/>
          </w:tcPr>
          <w:p>
            <w:r>
              <w:rPr>
                <w:rFonts w:ascii="Marianne" w:hAnsi="Marianne"/>
                <w:color w:val="1D1D1B"/>
                <w:sz w:val="20"/>
              </w:rPr>
              <w:t>Cumul depuis sept. 2025</w:t>
            </w:r>
          </w:p>
        </w:tc>
      </w:tr>
      <w:tr>
        <w:tc>
          <w:tcPr>
            <w:tcW w:type="dxa" w:w="2880"/>
          </w:tcPr>
          <w:p>
            <w:r>
              <w:rPr>
                <w:rFonts w:ascii="Marianne" w:hAnsi="Marianne"/>
                <w:color w:val="1D1D1B"/>
                <w:sz w:val="20"/>
              </w:rPr>
              <w:t>Revenue mars</w:t>
            </w:r>
          </w:p>
        </w:tc>
        <w:tc>
          <w:tcPr>
            <w:tcW w:type="dxa" w:w="2880"/>
          </w:tcPr>
          <w:p>
            <w:r>
              <w:rPr>
                <w:rFonts w:ascii="Marianne" w:hAnsi="Marianne"/>
                <w:color w:val="1D1D1B"/>
                <w:sz w:val="20"/>
              </w:rPr>
              <w:t>1 782 EUR</w:t>
            </w:r>
          </w:p>
        </w:tc>
        <w:tc>
          <w:tcPr>
            <w:tcW w:type="dxa" w:w="2880"/>
          </w:tcPr>
          <w:p>
            <w:r>
              <w:rPr>
                <w:rFonts w:ascii="Marianne" w:hAnsi="Marianne"/>
                <w:color w:val="1D1D1B"/>
                <w:sz w:val="20"/>
              </w:rPr>
              <w:t>Mois en cours, au 16 mars</w:t>
            </w:r>
          </w:p>
        </w:tc>
      </w:tr>
      <w:tr>
        <w:tc>
          <w:tcPr>
            <w:tcW w:type="dxa" w:w="2880"/>
            <w:shd w:fill="FEF0E4"/>
          </w:tcPr>
          <w:p>
            <w:r>
              <w:rPr>
                <w:rFonts w:ascii="Marianne" w:hAnsi="Marianne"/>
                <w:color w:val="1D1D1B"/>
                <w:sz w:val="20"/>
              </w:rPr>
              <w:t>Transactions payees</w:t>
            </w:r>
          </w:p>
        </w:tc>
        <w:tc>
          <w:tcPr>
            <w:tcW w:type="dxa" w:w="2880"/>
            <w:shd w:fill="FEF0E4"/>
          </w:tcPr>
          <w:p>
            <w:r>
              <w:rPr>
                <w:rFonts w:ascii="Marianne" w:hAnsi="Marianne"/>
                <w:color w:val="1D1D1B"/>
                <w:sz w:val="20"/>
              </w:rPr>
              <w:t>104</w:t>
            </w:r>
          </w:p>
        </w:tc>
        <w:tc>
          <w:tcPr>
            <w:tcW w:type="dxa" w:w="2880"/>
            <w:shd w:fill="FEF0E4"/>
          </w:tcPr>
          <w:p>
            <w:r>
              <w:rPr>
                <w:rFonts w:ascii="Marianne" w:hAnsi="Marianne"/>
                <w:color w:val="1D1D1B"/>
                <w:sz w:val="20"/>
              </w:rPr>
              <w:t>Commandes Mollie status=paid</w:t>
            </w:r>
          </w:p>
        </w:tc>
      </w:tr>
    </w:tbl>
    <w:p/>
    <w:p>
      <w:pPr>
        <w:pStyle w:val="Heading2"/>
      </w:pPr>
      <w:r>
        <w:t>Evolution du MRR</w:t>
      </w:r>
    </w:p>
    <w:tbl>
      <w:tblPr>
        <w:tblW w:type="auto" w:w="0"/>
        <w:jc w:val="center"/>
        <w:tblLook w:firstColumn="1" w:firstRow="1" w:lastColumn="0" w:lastRow="0" w:noHBand="0" w:noVBand="1" w:val="04A0"/>
        <w:tblBorders>
          <w:top w:val="single" w:sz="4" w:space="0" w:color="FC8D42"/>
          <w:bottom w:val="single" w:sz="4" w:space="0" w:color="FC8D42"/>
          <w:insideH w:val="single" w:sz="2" w:space="0" w:color="E8E8E5"/>
        </w:tblBorders>
      </w:tblPr>
      <w:tblGrid>
        <w:gridCol w:w="2160"/>
        <w:gridCol w:w="2160"/>
        <w:gridCol w:w="2160"/>
        <w:gridCol w:w="2160"/>
      </w:tblGrid>
      <w:tr>
        <w:tc>
          <w:tcPr>
            <w:tcW w:type="dxa" w:w="2160"/>
            <w:shd w:fill="FC8D42"/>
          </w:tcPr>
          <w:p>
            <w:r>
              <w:rPr>
                <w:rFonts w:ascii="Marianne" w:hAnsi="Marianne"/>
                <w:b/>
                <w:color w:val="FFFFFF"/>
                <w:sz w:val="20"/>
              </w:rPr>
              <w:t>Mois</w:t>
            </w:r>
          </w:p>
        </w:tc>
        <w:tc>
          <w:tcPr>
            <w:tcW w:type="dxa" w:w="2160"/>
            <w:shd w:fill="FC8D42"/>
          </w:tcPr>
          <w:p>
            <w:r>
              <w:rPr>
                <w:rFonts w:ascii="Marianne" w:hAnsi="Marianne"/>
                <w:b/>
                <w:color w:val="FFFFFF"/>
                <w:sz w:val="20"/>
              </w:rPr>
              <w:t>MRR (EUR)</w:t>
            </w:r>
          </w:p>
        </w:tc>
        <w:tc>
          <w:tcPr>
            <w:tcW w:type="dxa" w:w="2160"/>
            <w:shd w:fill="FC8D42"/>
          </w:tcPr>
          <w:p>
            <w:r>
              <w:rPr>
                <w:rFonts w:ascii="Marianne" w:hAnsi="Marianne"/>
                <w:b/>
                <w:color w:val="FFFFFF"/>
                <w:sz w:val="20"/>
              </w:rPr>
              <w:t>Clients</w:t>
            </w:r>
          </w:p>
        </w:tc>
        <w:tc>
          <w:tcPr>
            <w:tcW w:type="dxa" w:w="2160"/>
            <w:shd w:fill="FC8D42"/>
          </w:tcPr>
          <w:p>
            <w:r>
              <w:rPr>
                <w:rFonts w:ascii="Marianne" w:hAnsi="Marianne"/>
                <w:b/>
                <w:color w:val="FFFFFF"/>
                <w:sz w:val="20"/>
              </w:rPr>
              <w:t>Croissance MoM</w:t>
            </w:r>
          </w:p>
        </w:tc>
      </w:tr>
      <w:tr>
        <w:tc>
          <w:tcPr>
            <w:tcW w:type="dxa" w:w="2160"/>
            <w:shd w:fill="FEF0E4"/>
          </w:tcPr>
          <w:p>
            <w:r>
              <w:rPr>
                <w:rFonts w:ascii="Marianne" w:hAnsi="Marianne"/>
                <w:color w:val="1D1D1B"/>
                <w:sz w:val="20"/>
              </w:rPr>
              <w:t>Sept. 2025</w:t>
            </w:r>
          </w:p>
        </w:tc>
        <w:tc>
          <w:tcPr>
            <w:tcW w:type="dxa" w:w="2160"/>
            <w:shd w:fill="FEF0E4"/>
          </w:tcPr>
          <w:p>
            <w:r>
              <w:rPr>
                <w:rFonts w:ascii="Marianne" w:hAnsi="Marianne"/>
                <w:color w:val="1D1D1B"/>
                <w:sz w:val="20"/>
              </w:rPr>
              <w:t>931</w:t>
            </w:r>
          </w:p>
        </w:tc>
        <w:tc>
          <w:tcPr>
            <w:tcW w:type="dxa" w:w="2160"/>
            <w:shd w:fill="FEF0E4"/>
          </w:tcPr>
          <w:p>
            <w:r>
              <w:rPr>
                <w:rFonts w:ascii="Marianne" w:hAnsi="Marianne"/>
                <w:color w:val="1D1D1B"/>
                <w:sz w:val="20"/>
              </w:rPr>
              <w:t>19</w:t>
            </w:r>
          </w:p>
        </w:tc>
        <w:tc>
          <w:tcPr>
            <w:tcW w:type="dxa" w:w="2160"/>
            <w:shd w:fill="FEF0E4"/>
          </w:tcPr>
          <w:p>
            <w:r>
              <w:rPr>
                <w:rFonts w:ascii="Marianne" w:hAnsi="Marianne"/>
                <w:color w:val="1D1D1B"/>
                <w:sz w:val="20"/>
              </w:rPr>
              <w:t>— (lancement)</w:t>
            </w:r>
          </w:p>
        </w:tc>
      </w:tr>
      <w:tr>
        <w:tc>
          <w:tcPr>
            <w:tcW w:type="dxa" w:w="2160"/>
          </w:tcPr>
          <w:p>
            <w:r>
              <w:rPr>
                <w:rFonts w:ascii="Marianne" w:hAnsi="Marianne"/>
                <w:color w:val="1D1D1B"/>
                <w:sz w:val="20"/>
              </w:rPr>
              <w:t>Oct. 2025</w:t>
            </w:r>
          </w:p>
        </w:tc>
        <w:tc>
          <w:tcPr>
            <w:tcW w:type="dxa" w:w="2160"/>
          </w:tcPr>
          <w:p>
            <w:r>
              <w:rPr>
                <w:rFonts w:ascii="Marianne" w:hAnsi="Marianne"/>
                <w:color w:val="1D1D1B"/>
                <w:sz w:val="20"/>
              </w:rPr>
              <w:t>1 131</w:t>
            </w:r>
          </w:p>
        </w:tc>
        <w:tc>
          <w:tcPr>
            <w:tcW w:type="dxa" w:w="2160"/>
          </w:tcPr>
          <w:p>
            <w:r>
              <w:rPr>
                <w:rFonts w:ascii="Marianne" w:hAnsi="Marianne"/>
                <w:color w:val="1D1D1B"/>
                <w:sz w:val="20"/>
              </w:rPr>
              <w:t>22</w:t>
            </w:r>
          </w:p>
        </w:tc>
        <w:tc>
          <w:tcPr>
            <w:tcW w:type="dxa" w:w="2160"/>
          </w:tcPr>
          <w:p>
            <w:r>
              <w:rPr>
                <w:rFonts w:ascii="Marianne" w:hAnsi="Marianne"/>
                <w:color w:val="1D1D1B"/>
                <w:sz w:val="20"/>
              </w:rPr>
              <w:t>+21,5%</w:t>
            </w:r>
          </w:p>
        </w:tc>
      </w:tr>
      <w:tr>
        <w:tc>
          <w:tcPr>
            <w:tcW w:type="dxa" w:w="2160"/>
            <w:shd w:fill="FEF0E4"/>
          </w:tcPr>
          <w:p>
            <w:r>
              <w:rPr>
                <w:rFonts w:ascii="Marianne" w:hAnsi="Marianne"/>
                <w:color w:val="1D1D1B"/>
                <w:sz w:val="20"/>
              </w:rPr>
              <w:t>Nov. 2025</w:t>
            </w:r>
          </w:p>
        </w:tc>
        <w:tc>
          <w:tcPr>
            <w:tcW w:type="dxa" w:w="2160"/>
            <w:shd w:fill="FEF0E4"/>
          </w:tcPr>
          <w:p>
            <w:r>
              <w:rPr>
                <w:rFonts w:ascii="Marianne" w:hAnsi="Marianne"/>
                <w:color w:val="1D1D1B"/>
                <w:sz w:val="20"/>
              </w:rPr>
              <w:t>1 467</w:t>
            </w:r>
          </w:p>
        </w:tc>
        <w:tc>
          <w:tcPr>
            <w:tcW w:type="dxa" w:w="2160"/>
            <w:shd w:fill="FEF0E4"/>
          </w:tcPr>
          <w:p>
            <w:r>
              <w:rPr>
                <w:rFonts w:ascii="Marianne" w:hAnsi="Marianne"/>
                <w:color w:val="1D1D1B"/>
                <w:sz w:val="20"/>
              </w:rPr>
              <w:t>27</w:t>
            </w:r>
          </w:p>
        </w:tc>
        <w:tc>
          <w:tcPr>
            <w:tcW w:type="dxa" w:w="2160"/>
            <w:shd w:fill="FEF0E4"/>
          </w:tcPr>
          <w:p>
            <w:r>
              <w:rPr>
                <w:rFonts w:ascii="Marianne" w:hAnsi="Marianne"/>
                <w:color w:val="1D1D1B"/>
                <w:sz w:val="20"/>
              </w:rPr>
              <w:t>+29,7%</w:t>
            </w:r>
          </w:p>
        </w:tc>
      </w:tr>
      <w:tr>
        <w:tc>
          <w:tcPr>
            <w:tcW w:type="dxa" w:w="2160"/>
          </w:tcPr>
          <w:p>
            <w:r>
              <w:rPr>
                <w:rFonts w:ascii="Marianne" w:hAnsi="Marianne"/>
                <w:color w:val="1D1D1B"/>
                <w:sz w:val="20"/>
              </w:rPr>
              <w:t>Dec. 2025</w:t>
            </w:r>
          </w:p>
        </w:tc>
        <w:tc>
          <w:tcPr>
            <w:tcW w:type="dxa" w:w="2160"/>
          </w:tcPr>
          <w:p>
            <w:r>
              <w:rPr>
                <w:rFonts w:ascii="Marianne" w:hAnsi="Marianne"/>
                <w:color w:val="1D1D1B"/>
                <w:sz w:val="20"/>
              </w:rPr>
              <w:t>1 545</w:t>
            </w:r>
          </w:p>
        </w:tc>
        <w:tc>
          <w:tcPr>
            <w:tcW w:type="dxa" w:w="2160"/>
          </w:tcPr>
          <w:p>
            <w:r>
              <w:rPr>
                <w:rFonts w:ascii="Marianne" w:hAnsi="Marianne"/>
                <w:color w:val="1D1D1B"/>
                <w:sz w:val="20"/>
              </w:rPr>
              <w:t>29</w:t>
            </w:r>
          </w:p>
        </w:tc>
        <w:tc>
          <w:tcPr>
            <w:tcW w:type="dxa" w:w="2160"/>
          </w:tcPr>
          <w:p>
            <w:r>
              <w:rPr>
                <w:rFonts w:ascii="Marianne" w:hAnsi="Marianne"/>
                <w:color w:val="1D1D1B"/>
                <w:sz w:val="20"/>
              </w:rPr>
              <w:t>+5,3%</w:t>
            </w:r>
          </w:p>
        </w:tc>
      </w:tr>
      <w:tr>
        <w:tc>
          <w:tcPr>
            <w:tcW w:type="dxa" w:w="2160"/>
            <w:shd w:fill="FEF0E4"/>
          </w:tcPr>
          <w:p>
            <w:r>
              <w:rPr>
                <w:rFonts w:ascii="Marianne" w:hAnsi="Marianne"/>
                <w:color w:val="1D1D1B"/>
                <w:sz w:val="20"/>
              </w:rPr>
              <w:t>Jan. 2026</w:t>
            </w:r>
          </w:p>
        </w:tc>
        <w:tc>
          <w:tcPr>
            <w:tcW w:type="dxa" w:w="2160"/>
            <w:shd w:fill="FEF0E4"/>
          </w:tcPr>
          <w:p>
            <w:r>
              <w:rPr>
                <w:rFonts w:ascii="Marianne" w:hAnsi="Marianne"/>
                <w:color w:val="1D1D1B"/>
                <w:sz w:val="20"/>
              </w:rPr>
              <w:t>1 785</w:t>
            </w:r>
          </w:p>
        </w:tc>
        <w:tc>
          <w:tcPr>
            <w:tcW w:type="dxa" w:w="2160"/>
            <w:shd w:fill="FEF0E4"/>
          </w:tcPr>
          <w:p>
            <w:r>
              <w:rPr>
                <w:rFonts w:ascii="Marianne" w:hAnsi="Marianne"/>
                <w:color w:val="1D1D1B"/>
                <w:sz w:val="20"/>
              </w:rPr>
              <w:t>33</w:t>
            </w:r>
          </w:p>
        </w:tc>
        <w:tc>
          <w:tcPr>
            <w:tcW w:type="dxa" w:w="2160"/>
            <w:shd w:fill="FEF0E4"/>
          </w:tcPr>
          <w:p>
            <w:r>
              <w:rPr>
                <w:rFonts w:ascii="Marianne" w:hAnsi="Marianne"/>
                <w:color w:val="1D1D1B"/>
                <w:sz w:val="20"/>
              </w:rPr>
              <w:t>+15,5%</w:t>
            </w:r>
          </w:p>
        </w:tc>
      </w:tr>
      <w:tr>
        <w:tc>
          <w:tcPr>
            <w:tcW w:type="dxa" w:w="2160"/>
          </w:tcPr>
          <w:p>
            <w:r>
              <w:rPr>
                <w:rFonts w:ascii="Marianne" w:hAnsi="Marianne"/>
                <w:color w:val="1D1D1B"/>
                <w:sz w:val="20"/>
              </w:rPr>
              <w:t>Fev. 2026</w:t>
            </w:r>
          </w:p>
        </w:tc>
        <w:tc>
          <w:tcPr>
            <w:tcW w:type="dxa" w:w="2160"/>
          </w:tcPr>
          <w:p>
            <w:r>
              <w:rPr>
                <w:rFonts w:ascii="Marianne" w:hAnsi="Marianne"/>
                <w:color w:val="1D1D1B"/>
                <w:sz w:val="20"/>
              </w:rPr>
              <w:t>1 958</w:t>
            </w:r>
          </w:p>
        </w:tc>
        <w:tc>
          <w:tcPr>
            <w:tcW w:type="dxa" w:w="2160"/>
          </w:tcPr>
          <w:p>
            <w:r>
              <w:rPr>
                <w:rFonts w:ascii="Marianne" w:hAnsi="Marianne"/>
                <w:color w:val="1D1D1B"/>
                <w:sz w:val="20"/>
              </w:rPr>
              <w:t>37</w:t>
            </w:r>
          </w:p>
        </w:tc>
        <w:tc>
          <w:tcPr>
            <w:tcW w:type="dxa" w:w="2160"/>
          </w:tcPr>
          <w:p>
            <w:r>
              <w:rPr>
                <w:rFonts w:ascii="Marianne" w:hAnsi="Marianne"/>
                <w:color w:val="1D1D1B"/>
                <w:sz w:val="20"/>
              </w:rPr>
              <w:t>+9,7%</w:t>
            </w:r>
          </w:p>
        </w:tc>
      </w:tr>
      <w:tr>
        <w:tc>
          <w:tcPr>
            <w:tcW w:type="dxa" w:w="2160"/>
            <w:shd w:fill="FEF0E4"/>
          </w:tcPr>
          <w:p>
            <w:r>
              <w:rPr>
                <w:rFonts w:ascii="Marianne" w:hAnsi="Marianne"/>
                <w:color w:val="1D1D1B"/>
                <w:sz w:val="20"/>
              </w:rPr>
              <w:t>Mars 2026</w:t>
            </w:r>
          </w:p>
        </w:tc>
        <w:tc>
          <w:tcPr>
            <w:tcW w:type="dxa" w:w="2160"/>
            <w:shd w:fill="FEF0E4"/>
          </w:tcPr>
          <w:p>
            <w:r>
              <w:rPr>
                <w:rFonts w:ascii="Marianne" w:hAnsi="Marianne"/>
                <w:color w:val="1D1D1B"/>
                <w:sz w:val="20"/>
              </w:rPr>
              <w:t>2 028</w:t>
            </w:r>
          </w:p>
        </w:tc>
        <w:tc>
          <w:tcPr>
            <w:tcW w:type="dxa" w:w="2160"/>
            <w:shd w:fill="FEF0E4"/>
          </w:tcPr>
          <w:p>
            <w:r>
              <w:rPr>
                <w:rFonts w:ascii="Marianne" w:hAnsi="Marianne"/>
                <w:color w:val="1D1D1B"/>
                <w:sz w:val="20"/>
              </w:rPr>
              <w:t>38</w:t>
            </w:r>
          </w:p>
        </w:tc>
        <w:tc>
          <w:tcPr>
            <w:tcW w:type="dxa" w:w="2160"/>
            <w:shd w:fill="FEF0E4"/>
          </w:tcPr>
          <w:p>
            <w:r>
              <w:rPr>
                <w:rFonts w:ascii="Marianne" w:hAnsi="Marianne"/>
                <w:color w:val="1D1D1B"/>
                <w:sz w:val="20"/>
              </w:rPr>
              <w:t>+3,6%</w:t>
            </w:r>
          </w:p>
        </w:tc>
      </w:tr>
    </w:tbl>
    <w:p/>
    <w:p>
      <w:pPr>
        <w:pStyle w:val="Heading2"/>
      </w:pPr>
      <w:r>
        <w:t>Revenue mensuel encaisse (Mollie)</w:t>
      </w:r>
    </w:p>
    <w:tbl>
      <w:tblPr>
        <w:tblW w:type="auto" w:w="0"/>
        <w:jc w:val="center"/>
        <w:tblLook w:firstColumn="1" w:firstRow="1" w:lastColumn="0" w:lastRow="0" w:noHBand="0" w:noVBand="1" w:val="04A0"/>
        <w:tblBorders>
          <w:top w:val="single" w:sz="4" w:space="0" w:color="FC8D42"/>
          <w:bottom w:val="single" w:sz="4" w:space="0" w:color="FC8D42"/>
          <w:insideH w:val="single" w:sz="2" w:space="0" w:color="E8E8E5"/>
        </w:tblBorders>
      </w:tblPr>
      <w:tblGrid>
        <w:gridCol w:w="2160"/>
        <w:gridCol w:w="2160"/>
        <w:gridCol w:w="2160"/>
        <w:gridCol w:w="2160"/>
      </w:tblGrid>
      <w:tr>
        <w:tc>
          <w:tcPr>
            <w:tcW w:type="dxa" w:w="2160"/>
            <w:shd w:fill="FC8D42"/>
          </w:tcPr>
          <w:p>
            <w:r>
              <w:rPr>
                <w:rFonts w:ascii="Marianne" w:hAnsi="Marianne"/>
                <w:b/>
                <w:color w:val="FFFFFF"/>
                <w:sz w:val="20"/>
              </w:rPr>
              <w:t>Mois</w:t>
            </w:r>
          </w:p>
        </w:tc>
        <w:tc>
          <w:tcPr>
            <w:tcW w:type="dxa" w:w="2160"/>
            <w:shd w:fill="FC8D42"/>
          </w:tcPr>
          <w:p>
            <w:r>
              <w:rPr>
                <w:rFonts w:ascii="Marianne" w:hAnsi="Marianne"/>
                <w:b/>
                <w:color w:val="FFFFFF"/>
                <w:sz w:val="20"/>
              </w:rPr>
              <w:t>Revenue (EUR)</w:t>
            </w:r>
          </w:p>
        </w:tc>
        <w:tc>
          <w:tcPr>
            <w:tcW w:type="dxa" w:w="2160"/>
            <w:shd w:fill="FC8D42"/>
          </w:tcPr>
          <w:p>
            <w:r>
              <w:rPr>
                <w:rFonts w:ascii="Marianne" w:hAnsi="Marianne"/>
                <w:b/>
                <w:color w:val="FFFFFF"/>
                <w:sz w:val="20"/>
              </w:rPr>
              <w:t>Transactions</w:t>
            </w:r>
          </w:p>
        </w:tc>
        <w:tc>
          <w:tcPr>
            <w:tcW w:type="dxa" w:w="2160"/>
            <w:shd w:fill="FC8D42"/>
          </w:tcPr>
          <w:p>
            <w:r>
              <w:rPr>
                <w:rFonts w:ascii="Marianne" w:hAnsi="Marianne"/>
                <w:b/>
                <w:color w:val="FFFFFF"/>
                <w:sz w:val="20"/>
              </w:rPr>
              <w:t>ARPU reel</w:t>
            </w:r>
          </w:p>
        </w:tc>
      </w:tr>
      <w:tr>
        <w:tc>
          <w:tcPr>
            <w:tcW w:type="dxa" w:w="2160"/>
            <w:shd w:fill="FEF0E4"/>
          </w:tcPr>
          <w:p>
            <w:r>
              <w:rPr>
                <w:rFonts w:ascii="Marianne" w:hAnsi="Marianne"/>
                <w:color w:val="1D1D1B"/>
                <w:sz w:val="20"/>
              </w:rPr>
              <w:t>Sept. 2025</w:t>
            </w:r>
          </w:p>
        </w:tc>
        <w:tc>
          <w:tcPr>
            <w:tcW w:type="dxa" w:w="2160"/>
            <w:shd w:fill="FEF0E4"/>
          </w:tcPr>
          <w:p>
            <w:r>
              <w:rPr>
                <w:rFonts w:ascii="Marianne" w:hAnsi="Marianne"/>
                <w:color w:val="1D1D1B"/>
                <w:sz w:val="20"/>
              </w:rPr>
              <w:t>1 039</w:t>
            </w:r>
          </w:p>
        </w:tc>
        <w:tc>
          <w:tcPr>
            <w:tcW w:type="dxa" w:w="2160"/>
            <w:shd w:fill="FEF0E4"/>
          </w:tcPr>
          <w:p>
            <w:r>
              <w:rPr>
                <w:rFonts w:ascii="Marianne" w:hAnsi="Marianne"/>
                <w:color w:val="1D1D1B"/>
                <w:sz w:val="20"/>
              </w:rPr>
              <w:t>21</w:t>
            </w:r>
          </w:p>
        </w:tc>
        <w:tc>
          <w:tcPr>
            <w:tcW w:type="dxa" w:w="2160"/>
            <w:shd w:fill="FEF0E4"/>
          </w:tcPr>
          <w:p>
            <w:r>
              <w:rPr>
                <w:rFonts w:ascii="Marianne" w:hAnsi="Marianne"/>
                <w:color w:val="1D1D1B"/>
                <w:sz w:val="20"/>
              </w:rPr>
              <w:t>87 EUR</w:t>
            </w:r>
          </w:p>
        </w:tc>
      </w:tr>
      <w:tr>
        <w:tc>
          <w:tcPr>
            <w:tcW w:type="dxa" w:w="2160"/>
          </w:tcPr>
          <w:p>
            <w:r>
              <w:rPr>
                <w:rFonts w:ascii="Marianne" w:hAnsi="Marianne"/>
                <w:color w:val="1D1D1B"/>
                <w:sz w:val="20"/>
              </w:rPr>
              <w:t>Oct. 2025</w:t>
            </w:r>
          </w:p>
        </w:tc>
        <w:tc>
          <w:tcPr>
            <w:tcW w:type="dxa" w:w="2160"/>
          </w:tcPr>
          <w:p>
            <w:r>
              <w:rPr>
                <w:rFonts w:ascii="Marianne" w:hAnsi="Marianne"/>
                <w:color w:val="1D1D1B"/>
                <w:sz w:val="20"/>
              </w:rPr>
              <w:t>1 054</w:t>
            </w:r>
          </w:p>
        </w:tc>
        <w:tc>
          <w:tcPr>
            <w:tcW w:type="dxa" w:w="2160"/>
          </w:tcPr>
          <w:p>
            <w:r>
              <w:rPr>
                <w:rFonts w:ascii="Marianne" w:hAnsi="Marianne"/>
                <w:color w:val="1D1D1B"/>
                <w:sz w:val="20"/>
              </w:rPr>
              <w:t>12</w:t>
            </w:r>
          </w:p>
        </w:tc>
        <w:tc>
          <w:tcPr>
            <w:tcW w:type="dxa" w:w="2160"/>
          </w:tcPr>
          <w:p>
            <w:r>
              <w:rPr>
                <w:rFonts w:ascii="Marianne" w:hAnsi="Marianne"/>
                <w:color w:val="1D1D1B"/>
                <w:sz w:val="20"/>
              </w:rPr>
              <w:t>105 EUR</w:t>
            </w:r>
          </w:p>
        </w:tc>
      </w:tr>
      <w:tr>
        <w:tc>
          <w:tcPr>
            <w:tcW w:type="dxa" w:w="2160"/>
            <w:shd w:fill="FEF0E4"/>
          </w:tcPr>
          <w:p>
            <w:r>
              <w:rPr>
                <w:rFonts w:ascii="Marianne" w:hAnsi="Marianne"/>
                <w:color w:val="1D1D1B"/>
                <w:sz w:val="20"/>
              </w:rPr>
              <w:t>Nov. 2025</w:t>
            </w:r>
          </w:p>
        </w:tc>
        <w:tc>
          <w:tcPr>
            <w:tcW w:type="dxa" w:w="2160"/>
            <w:shd w:fill="FEF0E4"/>
          </w:tcPr>
          <w:p>
            <w:r>
              <w:rPr>
                <w:rFonts w:ascii="Marianne" w:hAnsi="Marianne"/>
                <w:color w:val="1D1D1B"/>
                <w:sz w:val="20"/>
              </w:rPr>
              <w:t>944</w:t>
            </w:r>
          </w:p>
        </w:tc>
        <w:tc>
          <w:tcPr>
            <w:tcW w:type="dxa" w:w="2160"/>
            <w:shd w:fill="FEF0E4"/>
          </w:tcPr>
          <w:p>
            <w:r>
              <w:rPr>
                <w:rFonts w:ascii="Marianne" w:hAnsi="Marianne"/>
                <w:color w:val="1D1D1B"/>
                <w:sz w:val="20"/>
              </w:rPr>
              <w:t>12</w:t>
            </w:r>
          </w:p>
        </w:tc>
        <w:tc>
          <w:tcPr>
            <w:tcW w:type="dxa" w:w="2160"/>
            <w:shd w:fill="FEF0E4"/>
          </w:tcPr>
          <w:p>
            <w:r>
              <w:rPr>
                <w:rFonts w:ascii="Marianne" w:hAnsi="Marianne"/>
                <w:color w:val="1D1D1B"/>
                <w:sz w:val="20"/>
              </w:rPr>
              <w:t>86 EUR</w:t>
            </w:r>
          </w:p>
        </w:tc>
      </w:tr>
      <w:tr>
        <w:tc>
          <w:tcPr>
            <w:tcW w:type="dxa" w:w="2160"/>
          </w:tcPr>
          <w:p>
            <w:r>
              <w:rPr>
                <w:rFonts w:ascii="Marianne" w:hAnsi="Marianne"/>
                <w:color w:val="1D1D1B"/>
                <w:sz w:val="20"/>
              </w:rPr>
              <w:t>Dec. 2025</w:t>
            </w:r>
          </w:p>
        </w:tc>
        <w:tc>
          <w:tcPr>
            <w:tcW w:type="dxa" w:w="2160"/>
          </w:tcPr>
          <w:p>
            <w:r>
              <w:rPr>
                <w:rFonts w:ascii="Marianne" w:hAnsi="Marianne"/>
                <w:color w:val="1D1D1B"/>
                <w:sz w:val="20"/>
              </w:rPr>
              <w:t>991</w:t>
            </w:r>
          </w:p>
        </w:tc>
        <w:tc>
          <w:tcPr>
            <w:tcW w:type="dxa" w:w="2160"/>
          </w:tcPr>
          <w:p>
            <w:r>
              <w:rPr>
                <w:rFonts w:ascii="Marianne" w:hAnsi="Marianne"/>
                <w:color w:val="1D1D1B"/>
                <w:sz w:val="20"/>
              </w:rPr>
              <w:t>12</w:t>
            </w:r>
          </w:p>
        </w:tc>
        <w:tc>
          <w:tcPr>
            <w:tcW w:type="dxa" w:w="2160"/>
          </w:tcPr>
          <w:p>
            <w:r>
              <w:rPr>
                <w:rFonts w:ascii="Marianne" w:hAnsi="Marianne"/>
                <w:color w:val="1D1D1B"/>
                <w:sz w:val="20"/>
              </w:rPr>
              <w:t>83 EUR</w:t>
            </w:r>
          </w:p>
        </w:tc>
      </w:tr>
      <w:tr>
        <w:tc>
          <w:tcPr>
            <w:tcW w:type="dxa" w:w="2160"/>
            <w:shd w:fill="FEF0E4"/>
          </w:tcPr>
          <w:p>
            <w:r>
              <w:rPr>
                <w:rFonts w:ascii="Marianne" w:hAnsi="Marianne"/>
                <w:color w:val="1D1D1B"/>
                <w:sz w:val="20"/>
              </w:rPr>
              <w:t>Jan. 2026</w:t>
            </w:r>
          </w:p>
        </w:tc>
        <w:tc>
          <w:tcPr>
            <w:tcW w:type="dxa" w:w="2160"/>
            <w:shd w:fill="FEF0E4"/>
          </w:tcPr>
          <w:p>
            <w:r>
              <w:rPr>
                <w:rFonts w:ascii="Marianne" w:hAnsi="Marianne"/>
                <w:color w:val="1D1D1B"/>
                <w:sz w:val="20"/>
              </w:rPr>
              <w:t>2 769</w:t>
            </w:r>
          </w:p>
        </w:tc>
        <w:tc>
          <w:tcPr>
            <w:tcW w:type="dxa" w:w="2160"/>
            <w:shd w:fill="FEF0E4"/>
          </w:tcPr>
          <w:p>
            <w:r>
              <w:rPr>
                <w:rFonts w:ascii="Marianne" w:hAnsi="Marianne"/>
                <w:color w:val="1D1D1B"/>
                <w:sz w:val="20"/>
              </w:rPr>
              <w:t>25</w:t>
            </w:r>
          </w:p>
        </w:tc>
        <w:tc>
          <w:tcPr>
            <w:tcW w:type="dxa" w:w="2160"/>
            <w:shd w:fill="FEF0E4"/>
          </w:tcPr>
          <w:p>
            <w:r>
              <w:rPr>
                <w:rFonts w:ascii="Marianne" w:hAnsi="Marianne"/>
                <w:color w:val="1D1D1B"/>
                <w:sz w:val="20"/>
              </w:rPr>
              <w:t>213 EUR</w:t>
            </w:r>
          </w:p>
        </w:tc>
      </w:tr>
      <w:tr>
        <w:tc>
          <w:tcPr>
            <w:tcW w:type="dxa" w:w="2160"/>
          </w:tcPr>
          <w:p>
            <w:r>
              <w:rPr>
                <w:rFonts w:ascii="Marianne" w:hAnsi="Marianne"/>
                <w:color w:val="1D1D1B"/>
                <w:sz w:val="20"/>
              </w:rPr>
              <w:t>Fev. 2026</w:t>
            </w:r>
          </w:p>
        </w:tc>
        <w:tc>
          <w:tcPr>
            <w:tcW w:type="dxa" w:w="2160"/>
          </w:tcPr>
          <w:p>
            <w:r>
              <w:rPr>
                <w:rFonts w:ascii="Marianne" w:hAnsi="Marianne"/>
                <w:color w:val="1D1D1B"/>
                <w:sz w:val="20"/>
              </w:rPr>
              <w:t>2 139</w:t>
            </w:r>
          </w:p>
        </w:tc>
        <w:tc>
          <w:tcPr>
            <w:tcW w:type="dxa" w:w="2160"/>
          </w:tcPr>
          <w:p>
            <w:r>
              <w:rPr>
                <w:rFonts w:ascii="Marianne" w:hAnsi="Marianne"/>
                <w:color w:val="1D1D1B"/>
                <w:sz w:val="20"/>
              </w:rPr>
              <w:t>13</w:t>
            </w:r>
          </w:p>
        </w:tc>
        <w:tc>
          <w:tcPr>
            <w:tcW w:type="dxa" w:w="2160"/>
          </w:tcPr>
          <w:p>
            <w:r>
              <w:rPr>
                <w:rFonts w:ascii="Marianne" w:hAnsi="Marianne"/>
                <w:color w:val="1D1D1B"/>
                <w:sz w:val="20"/>
              </w:rPr>
              <w:t>165 EUR</w:t>
            </w:r>
          </w:p>
        </w:tc>
      </w:tr>
      <w:tr>
        <w:tc>
          <w:tcPr>
            <w:tcW w:type="dxa" w:w="2160"/>
            <w:shd w:fill="FEF0E4"/>
          </w:tcPr>
          <w:p>
            <w:r>
              <w:rPr>
                <w:rFonts w:ascii="Marianne" w:hAnsi="Marianne"/>
                <w:color w:val="1D1D1B"/>
                <w:sz w:val="20"/>
              </w:rPr>
              <w:t>Mars 2026</w:t>
            </w:r>
          </w:p>
        </w:tc>
        <w:tc>
          <w:tcPr>
            <w:tcW w:type="dxa" w:w="2160"/>
            <w:shd w:fill="FEF0E4"/>
          </w:tcPr>
          <w:p>
            <w:r>
              <w:rPr>
                <w:rFonts w:ascii="Marianne" w:hAnsi="Marianne"/>
                <w:color w:val="1D1D1B"/>
                <w:sz w:val="20"/>
              </w:rPr>
              <w:t>1 782</w:t>
            </w:r>
          </w:p>
        </w:tc>
        <w:tc>
          <w:tcPr>
            <w:tcW w:type="dxa" w:w="2160"/>
            <w:shd w:fill="FEF0E4"/>
          </w:tcPr>
          <w:p>
            <w:r>
              <w:rPr>
                <w:rFonts w:ascii="Marianne" w:hAnsi="Marianne"/>
                <w:color w:val="1D1D1B"/>
                <w:sz w:val="20"/>
              </w:rPr>
              <w:t>9</w:t>
            </w:r>
          </w:p>
        </w:tc>
        <w:tc>
          <w:tcPr>
            <w:tcW w:type="dxa" w:w="2160"/>
            <w:shd w:fill="FEF0E4"/>
          </w:tcPr>
          <w:p>
            <w:r>
              <w:rPr>
                <w:rFonts w:ascii="Marianne" w:hAnsi="Marianne"/>
                <w:color w:val="1D1D1B"/>
                <w:sz w:val="20"/>
              </w:rPr>
              <w:t>255 EUR</w:t>
            </w:r>
          </w:p>
        </w:tc>
      </w:tr>
    </w:tbl>
    <w:p/>
    <w:p>
      <w:r>
        <w:rPr>
          <w:rFonts w:ascii="Century Gothic" w:hAnsi="Century Gothic"/>
          <w:b/>
          <w:color w:val="FC8D42"/>
          <w:sz w:val="22"/>
        </w:rPr>
        <w:t xml:space="preserve">Note : </w:t>
      </w:r>
      <w:r>
        <w:rPr>
          <w:rFonts w:ascii="Marianne" w:hAnsi="Marianne"/>
          <w:sz w:val="22"/>
        </w:rPr>
        <w:t>L'ARPU reel (revenue collecte / clients factures) est significativement superieur a l'ARPU plan grace au modele pay-per-use qui genere des depassements de consommation.</w:t>
      </w:r>
    </w:p>
    <w:p>
      <w:r>
        <w:br w:type="page"/>
      </w:r>
    </w:p>
    <w:p>
      <w:pPr>
        <w:pStyle w:val="Heading1"/>
      </w:pPr>
      <w:r>
        <w:t>2. Modele de Revenue — Hybride Abo + Usage</w:t>
      </w:r>
    </w:p>
    <w:p>
      <w:pPr>
        <w:pStyle w:val="Heading2"/>
      </w:pPr>
      <w:r>
        <w:t>Composition du revenue</w:t>
      </w:r>
    </w:p>
    <w:tbl>
      <w:tblPr>
        <w:tblW w:type="auto" w:w="0"/>
        <w:jc w:val="center"/>
        <w:tblLook w:firstColumn="1" w:firstRow="1" w:lastColumn="0" w:lastRow="0" w:noHBand="0" w:noVBand="1" w:val="04A0"/>
        <w:tblBorders>
          <w:top w:val="single" w:sz="4" w:space="0" w:color="FC8D42"/>
          <w:bottom w:val="single" w:sz="4" w:space="0" w:color="FC8D42"/>
          <w:insideH w:val="single" w:sz="2" w:space="0" w:color="E8E8E5"/>
        </w:tblBorders>
      </w:tblPr>
      <w:tblGrid>
        <w:gridCol w:w="2160"/>
        <w:gridCol w:w="2160"/>
        <w:gridCol w:w="2160"/>
        <w:gridCol w:w="2160"/>
      </w:tblGrid>
      <w:tr>
        <w:tc>
          <w:tcPr>
            <w:tcW w:type="dxa" w:w="2160"/>
            <w:shd w:fill="FC8D42"/>
          </w:tcPr>
          <w:p>
            <w:r>
              <w:rPr>
                <w:rFonts w:ascii="Marianne" w:hAnsi="Marianne"/>
                <w:b/>
                <w:color w:val="FFFFFF"/>
                <w:sz w:val="20"/>
              </w:rPr>
              <w:t>Type</w:t>
            </w:r>
          </w:p>
        </w:tc>
        <w:tc>
          <w:tcPr>
            <w:tcW w:type="dxa" w:w="2160"/>
            <w:shd w:fill="FC8D42"/>
          </w:tcPr>
          <w:p>
            <w:r>
              <w:rPr>
                <w:rFonts w:ascii="Marianne" w:hAnsi="Marianne"/>
                <w:b/>
                <w:color w:val="FFFFFF"/>
                <w:sz w:val="20"/>
              </w:rPr>
              <w:t>Revenue (EUR)</w:t>
            </w:r>
          </w:p>
        </w:tc>
        <w:tc>
          <w:tcPr>
            <w:tcW w:type="dxa" w:w="2160"/>
            <w:shd w:fill="FC8D42"/>
          </w:tcPr>
          <w:p>
            <w:r>
              <w:rPr>
                <w:rFonts w:ascii="Marianne" w:hAnsi="Marianne"/>
                <w:b/>
                <w:color w:val="FFFFFF"/>
                <w:sz w:val="20"/>
              </w:rPr>
              <w:t>% total</w:t>
            </w:r>
          </w:p>
        </w:tc>
        <w:tc>
          <w:tcPr>
            <w:tcW w:type="dxa" w:w="2160"/>
            <w:shd w:fill="FC8D42"/>
          </w:tcPr>
          <w:p>
            <w:r>
              <w:rPr>
                <w:rFonts w:ascii="Marianne" w:hAnsi="Marianne"/>
                <w:b/>
                <w:color w:val="FFFFFF"/>
                <w:sz w:val="20"/>
              </w:rPr>
              <w:t>Nb items</w:t>
            </w:r>
          </w:p>
        </w:tc>
      </w:tr>
      <w:tr>
        <w:tc>
          <w:tcPr>
            <w:tcW w:type="dxa" w:w="2160"/>
            <w:shd w:fill="FEF0E4"/>
          </w:tcPr>
          <w:p>
            <w:r>
              <w:rPr>
                <w:rFonts w:ascii="Marianne" w:hAnsi="Marianne"/>
                <w:color w:val="1D1D1B"/>
                <w:sz w:val="20"/>
              </w:rPr>
              <w:t>Abonnement (recurrent)</w:t>
            </w:r>
          </w:p>
        </w:tc>
        <w:tc>
          <w:tcPr>
            <w:tcW w:type="dxa" w:w="2160"/>
            <w:shd w:fill="FEF0E4"/>
          </w:tcPr>
          <w:p>
            <w:r>
              <w:rPr>
                <w:rFonts w:ascii="Marianne" w:hAnsi="Marianne"/>
                <w:color w:val="1D1D1B"/>
                <w:sz w:val="20"/>
              </w:rPr>
              <w:t>5 402</w:t>
            </w:r>
          </w:p>
        </w:tc>
        <w:tc>
          <w:tcPr>
            <w:tcW w:type="dxa" w:w="2160"/>
            <w:shd w:fill="FEF0E4"/>
          </w:tcPr>
          <w:p>
            <w:r>
              <w:rPr>
                <w:rFonts w:ascii="Marianne" w:hAnsi="Marianne"/>
                <w:color w:val="1D1D1B"/>
                <w:sz w:val="20"/>
              </w:rPr>
              <w:t>61%</w:t>
            </w:r>
          </w:p>
        </w:tc>
        <w:tc>
          <w:tcPr>
            <w:tcW w:type="dxa" w:w="2160"/>
            <w:shd w:fill="FEF0E4"/>
          </w:tcPr>
          <w:p>
            <w:r>
              <w:rPr>
                <w:rFonts w:ascii="Marianne" w:hAnsi="Marianne"/>
                <w:color w:val="1D1D1B"/>
                <w:sz w:val="20"/>
              </w:rPr>
              <w:t>86</w:t>
            </w:r>
          </w:p>
        </w:tc>
      </w:tr>
      <w:tr>
        <w:tc>
          <w:tcPr>
            <w:tcW w:type="dxa" w:w="2160"/>
          </w:tcPr>
          <w:p>
            <w:r>
              <w:rPr>
                <w:rFonts w:ascii="Marianne" w:hAnsi="Marianne"/>
                <w:color w:val="1D1D1B"/>
                <w:sz w:val="20"/>
              </w:rPr>
              <w:t>Usage / Consommation</w:t>
            </w:r>
          </w:p>
        </w:tc>
        <w:tc>
          <w:tcPr>
            <w:tcW w:type="dxa" w:w="2160"/>
          </w:tcPr>
          <w:p>
            <w:r>
              <w:rPr>
                <w:rFonts w:ascii="Marianne" w:hAnsi="Marianne"/>
                <w:color w:val="1D1D1B"/>
                <w:sz w:val="20"/>
              </w:rPr>
              <w:t>3 505</w:t>
            </w:r>
          </w:p>
        </w:tc>
        <w:tc>
          <w:tcPr>
            <w:tcW w:type="dxa" w:w="2160"/>
          </w:tcPr>
          <w:p>
            <w:r>
              <w:rPr>
                <w:rFonts w:ascii="Marianne" w:hAnsi="Marianne"/>
                <w:color w:val="1D1D1B"/>
                <w:sz w:val="20"/>
              </w:rPr>
              <w:t>39%</w:t>
            </w:r>
          </w:p>
        </w:tc>
        <w:tc>
          <w:tcPr>
            <w:tcW w:type="dxa" w:w="2160"/>
          </w:tcPr>
          <w:p>
            <w:r>
              <w:rPr>
                <w:rFonts w:ascii="Marianne" w:hAnsi="Marianne"/>
                <w:color w:val="1D1D1B"/>
                <w:sz w:val="20"/>
              </w:rPr>
              <w:t>13</w:t>
            </w:r>
          </w:p>
        </w:tc>
      </w:tr>
      <w:tr>
        <w:tc>
          <w:tcPr>
            <w:tcW w:type="dxa" w:w="2160"/>
            <w:shd w:fill="FEF0E4"/>
          </w:tcPr>
          <w:p>
            <w:r>
              <w:rPr>
                <w:rFonts w:ascii="Marianne" w:hAnsi="Marianne"/>
                <w:color w:val="1D1D1B"/>
                <w:sz w:val="20"/>
              </w:rPr>
              <w:t>Autre</w:t>
            </w:r>
          </w:p>
        </w:tc>
        <w:tc>
          <w:tcPr>
            <w:tcW w:type="dxa" w:w="2160"/>
            <w:shd w:fill="FEF0E4"/>
          </w:tcPr>
          <w:p>
            <w:r>
              <w:rPr>
                <w:rFonts w:ascii="Marianne" w:hAnsi="Marianne"/>
                <w:color w:val="1D1D1B"/>
                <w:sz w:val="20"/>
              </w:rPr>
              <w:t>4</w:t>
            </w:r>
          </w:p>
        </w:tc>
        <w:tc>
          <w:tcPr>
            <w:tcW w:type="dxa" w:w="2160"/>
            <w:shd w:fill="FEF0E4"/>
          </w:tcPr>
          <w:p>
            <w:r>
              <w:rPr>
                <w:rFonts w:ascii="Marianne" w:hAnsi="Marianne"/>
                <w:color w:val="1D1D1B"/>
                <w:sz w:val="20"/>
              </w:rPr>
              <w:t>&lt;1%</w:t>
            </w:r>
          </w:p>
        </w:tc>
        <w:tc>
          <w:tcPr>
            <w:tcW w:type="dxa" w:w="2160"/>
            <w:shd w:fill="FEF0E4"/>
          </w:tcPr>
          <w:p>
            <w:r>
              <w:rPr>
                <w:rFonts w:ascii="Marianne" w:hAnsi="Marianne"/>
                <w:color w:val="1D1D1B"/>
                <w:sz w:val="20"/>
              </w:rPr>
              <w:t>5</w:t>
            </w:r>
          </w:p>
        </w:tc>
      </w:tr>
    </w:tbl>
    <w:p/>
    <w:p>
      <w:r>
        <w:rPr>
          <w:rFonts w:ascii="Century Gothic" w:hAnsi="Century Gothic"/>
          <w:b/>
        </w:rPr>
        <w:t xml:space="preserve">Le modele hybride est un atout majeur. </w:t>
      </w:r>
      <w:r>
        <w:t>La partie abonnement garantit un revenu previsible, tandis que la partie usage cree un mecanisme naturel de Net Revenue Expansion : les clients qui utilisent davantage le service paient proportionnellement plus, sans effort commercial supplementaire.</w:t>
      </w:r>
    </w:p>
    <w:p>
      <w:pPr>
        <w:pStyle w:val="Heading2"/>
      </w:pPr>
      <w:r>
        <w:t>Top 10 comptes par revenue cumule</w:t>
      </w:r>
    </w:p>
    <w:tbl>
      <w:tblPr>
        <w:tblW w:type="auto" w:w="0"/>
        <w:jc w:val="center"/>
        <w:tblLook w:firstColumn="1" w:firstRow="1" w:lastColumn="0" w:lastRow="0" w:noHBand="0" w:noVBand="1" w:val="04A0"/>
        <w:tblBorders>
          <w:top w:val="single" w:sz="4" w:space="0" w:color="FC8D42"/>
          <w:bottom w:val="single" w:sz="4" w:space="0" w:color="FC8D42"/>
          <w:insideH w:val="single" w:sz="2" w:space="0" w:color="E8E8E5"/>
        </w:tblBorders>
      </w:tblPr>
      <w:tblGrid>
        <w:gridCol w:w="1728"/>
        <w:gridCol w:w="1728"/>
        <w:gridCol w:w="1728"/>
        <w:gridCol w:w="1728"/>
        <w:gridCol w:w="1728"/>
      </w:tblGrid>
      <w:tr>
        <w:tc>
          <w:tcPr>
            <w:tcW w:type="dxa" w:w="1728"/>
            <w:shd w:fill="FC8D42"/>
          </w:tcPr>
          <w:p>
            <w:r>
              <w:rPr>
                <w:rFonts w:ascii="Marianne" w:hAnsi="Marianne"/>
                <w:b/>
                <w:color w:val="FFFFFF"/>
                <w:sz w:val="20"/>
              </w:rPr>
              <w:t>Compte</w:t>
            </w:r>
          </w:p>
        </w:tc>
        <w:tc>
          <w:tcPr>
            <w:tcW w:type="dxa" w:w="1728"/>
            <w:shd w:fill="FC8D42"/>
          </w:tcPr>
          <w:p>
            <w:r>
              <w:rPr>
                <w:rFonts w:ascii="Marianne" w:hAnsi="Marianne"/>
                <w:b/>
                <w:color w:val="FFFFFF"/>
                <w:sz w:val="20"/>
              </w:rPr>
              <w:t>Revenue (EUR)</w:t>
            </w:r>
          </w:p>
        </w:tc>
        <w:tc>
          <w:tcPr>
            <w:tcW w:type="dxa" w:w="1728"/>
            <w:shd w:fill="FC8D42"/>
          </w:tcPr>
          <w:p>
            <w:r>
              <w:rPr>
                <w:rFonts w:ascii="Marianne" w:hAnsi="Marianne"/>
                <w:b/>
                <w:color w:val="FFFFFF"/>
                <w:sz w:val="20"/>
              </w:rPr>
              <w:t>Plan (EUR/mois)</w:t>
            </w:r>
          </w:p>
        </w:tc>
        <w:tc>
          <w:tcPr>
            <w:tcW w:type="dxa" w:w="1728"/>
            <w:shd w:fill="FC8D42"/>
          </w:tcPr>
          <w:p>
            <w:r>
              <w:rPr>
                <w:rFonts w:ascii="Marianne" w:hAnsi="Marianne"/>
                <w:b/>
                <w:color w:val="FFFFFF"/>
                <w:sz w:val="20"/>
              </w:rPr>
              <w:t>Modele</w:t>
            </w:r>
          </w:p>
        </w:tc>
        <w:tc>
          <w:tcPr>
            <w:tcW w:type="dxa" w:w="1728"/>
            <w:shd w:fill="FC8D42"/>
          </w:tcPr>
          <w:p>
            <w:r>
              <w:rPr>
                <w:rFonts w:ascii="Marianne" w:hAnsi="Marianne"/>
                <w:b/>
                <w:color w:val="FFFFFF"/>
                <w:sz w:val="20"/>
              </w:rPr>
              <w:t>Factures</w:t>
            </w:r>
          </w:p>
        </w:tc>
      </w:tr>
      <w:tr>
        <w:tc>
          <w:tcPr>
            <w:tcW w:type="dxa" w:w="1728"/>
            <w:shd w:fill="FEF0E4"/>
          </w:tcPr>
          <w:p>
            <w:r>
              <w:rPr>
                <w:rFonts w:ascii="Marianne" w:hAnsi="Marianne"/>
                <w:color w:val="1D1D1B"/>
                <w:sz w:val="20"/>
              </w:rPr>
              <w:t>Le Labo du Sourire</w:t>
            </w:r>
          </w:p>
        </w:tc>
        <w:tc>
          <w:tcPr>
            <w:tcW w:type="dxa" w:w="1728"/>
            <w:shd w:fill="FEF0E4"/>
          </w:tcPr>
          <w:p>
            <w:r>
              <w:rPr>
                <w:rFonts w:ascii="Marianne" w:hAnsi="Marianne"/>
                <w:color w:val="1D1D1B"/>
                <w:sz w:val="20"/>
              </w:rPr>
              <w:t>1 914</w:t>
            </w:r>
          </w:p>
        </w:tc>
        <w:tc>
          <w:tcPr>
            <w:tcW w:type="dxa" w:w="1728"/>
            <w:shd w:fill="FEF0E4"/>
          </w:tcPr>
          <w:p>
            <w:r>
              <w:rPr>
                <w:rFonts w:ascii="Marianne" w:hAnsi="Marianne"/>
                <w:color w:val="1D1D1B"/>
                <w:sz w:val="20"/>
              </w:rPr>
              <w:t>69,99</w:t>
            </w:r>
          </w:p>
        </w:tc>
        <w:tc>
          <w:tcPr>
            <w:tcW w:type="dxa" w:w="1728"/>
            <w:shd w:fill="FEF0E4"/>
          </w:tcPr>
          <w:p>
            <w:r>
              <w:rPr>
                <w:rFonts w:ascii="Marianne" w:hAnsi="Marianne"/>
                <w:color w:val="1D1D1B"/>
                <w:sz w:val="20"/>
              </w:rPr>
              <w:t>Pay-per-use</w:t>
            </w:r>
          </w:p>
        </w:tc>
        <w:tc>
          <w:tcPr>
            <w:tcW w:type="dxa" w:w="1728"/>
            <w:shd w:fill="FEF0E4"/>
          </w:tcPr>
          <w:p>
            <w:r>
              <w:rPr>
                <w:rFonts w:ascii="Marianne" w:hAnsi="Marianne"/>
                <w:color w:val="1D1D1B"/>
                <w:sz w:val="20"/>
              </w:rPr>
              <w:t>7</w:t>
            </w:r>
          </w:p>
        </w:tc>
      </w:tr>
      <w:tr>
        <w:tc>
          <w:tcPr>
            <w:tcW w:type="dxa" w:w="1728"/>
          </w:tcPr>
          <w:p>
            <w:r>
              <w:rPr>
                <w:rFonts w:ascii="Marianne" w:hAnsi="Marianne"/>
                <w:color w:val="1D1D1B"/>
                <w:sz w:val="20"/>
              </w:rPr>
              <w:t>So Clinic Aubagne</w:t>
            </w:r>
          </w:p>
        </w:tc>
        <w:tc>
          <w:tcPr>
            <w:tcW w:type="dxa" w:w="1728"/>
          </w:tcPr>
          <w:p>
            <w:r>
              <w:rPr>
                <w:rFonts w:ascii="Marianne" w:hAnsi="Marianne"/>
                <w:color w:val="1D1D1B"/>
                <w:sz w:val="20"/>
              </w:rPr>
              <w:t>908</w:t>
            </w:r>
          </w:p>
        </w:tc>
        <w:tc>
          <w:tcPr>
            <w:tcW w:type="dxa" w:w="1728"/>
          </w:tcPr>
          <w:p>
            <w:r>
              <w:rPr>
                <w:rFonts w:ascii="Marianne" w:hAnsi="Marianne"/>
                <w:color w:val="1D1D1B"/>
                <w:sz w:val="20"/>
              </w:rPr>
              <w:t>76,50</w:t>
            </w:r>
          </w:p>
        </w:tc>
        <w:tc>
          <w:tcPr>
            <w:tcW w:type="dxa" w:w="1728"/>
          </w:tcPr>
          <w:p>
            <w:r>
              <w:rPr>
                <w:rFonts w:ascii="Marianne" w:hAnsi="Marianne"/>
                <w:color w:val="1D1D1B"/>
                <w:sz w:val="20"/>
              </w:rPr>
              <w:t>Pay-per-use</w:t>
            </w:r>
          </w:p>
        </w:tc>
        <w:tc>
          <w:tcPr>
            <w:tcW w:type="dxa" w:w="1728"/>
          </w:tcPr>
          <w:p>
            <w:r>
              <w:rPr>
                <w:rFonts w:ascii="Marianne" w:hAnsi="Marianne"/>
                <w:color w:val="1D1D1B"/>
                <w:sz w:val="20"/>
              </w:rPr>
              <w:t>5</w:t>
            </w:r>
          </w:p>
        </w:tc>
      </w:tr>
      <w:tr>
        <w:tc>
          <w:tcPr>
            <w:tcW w:type="dxa" w:w="1728"/>
            <w:shd w:fill="FEF0E4"/>
          </w:tcPr>
          <w:p>
            <w:r>
              <w:rPr>
                <w:rFonts w:ascii="Marianne" w:hAnsi="Marianne"/>
                <w:color w:val="1D1D1B"/>
                <w:sz w:val="20"/>
              </w:rPr>
              <w:t>Mathieu Chautard</w:t>
            </w:r>
          </w:p>
        </w:tc>
        <w:tc>
          <w:tcPr>
            <w:tcW w:type="dxa" w:w="1728"/>
            <w:shd w:fill="FEF0E4"/>
          </w:tcPr>
          <w:p>
            <w:r>
              <w:rPr>
                <w:rFonts w:ascii="Marianne" w:hAnsi="Marianne"/>
                <w:color w:val="1D1D1B"/>
                <w:sz w:val="20"/>
              </w:rPr>
              <w:t>757</w:t>
            </w:r>
          </w:p>
        </w:tc>
        <w:tc>
          <w:tcPr>
            <w:tcW w:type="dxa" w:w="1728"/>
            <w:shd w:fill="FEF0E4"/>
          </w:tcPr>
          <w:p>
            <w:r>
              <w:rPr>
                <w:rFonts w:ascii="Marianne" w:hAnsi="Marianne"/>
                <w:color w:val="1D1D1B"/>
                <w:sz w:val="20"/>
              </w:rPr>
              <w:t>90,00</w:t>
            </w:r>
          </w:p>
        </w:tc>
        <w:tc>
          <w:tcPr>
            <w:tcW w:type="dxa" w:w="1728"/>
            <w:shd w:fill="FEF0E4"/>
          </w:tcPr>
          <w:p>
            <w:r>
              <w:rPr>
                <w:rFonts w:ascii="Marianne" w:hAnsi="Marianne"/>
                <w:color w:val="1D1D1B"/>
                <w:sz w:val="20"/>
              </w:rPr>
              <w:t>Forfait</w:t>
            </w:r>
          </w:p>
        </w:tc>
        <w:tc>
          <w:tcPr>
            <w:tcW w:type="dxa" w:w="1728"/>
            <w:shd w:fill="FEF0E4"/>
          </w:tcPr>
          <w:p>
            <w:r>
              <w:rPr>
                <w:rFonts w:ascii="Marianne" w:hAnsi="Marianne"/>
                <w:color w:val="1D1D1B"/>
                <w:sz w:val="20"/>
              </w:rPr>
              <w:t>8</w:t>
            </w:r>
          </w:p>
        </w:tc>
      </w:tr>
      <w:tr>
        <w:tc>
          <w:tcPr>
            <w:tcW w:type="dxa" w:w="1728"/>
          </w:tcPr>
          <w:p>
            <w:r>
              <w:rPr>
                <w:rFonts w:ascii="Marianne" w:hAnsi="Marianne"/>
                <w:color w:val="1D1D1B"/>
                <w:sz w:val="20"/>
              </w:rPr>
              <w:t>Dr Benmansour</w:t>
            </w:r>
          </w:p>
        </w:tc>
        <w:tc>
          <w:tcPr>
            <w:tcW w:type="dxa" w:w="1728"/>
          </w:tcPr>
          <w:p>
            <w:r>
              <w:rPr>
                <w:rFonts w:ascii="Marianne" w:hAnsi="Marianne"/>
                <w:color w:val="1D1D1B"/>
                <w:sz w:val="20"/>
              </w:rPr>
              <w:t>747</w:t>
            </w:r>
          </w:p>
        </w:tc>
        <w:tc>
          <w:tcPr>
            <w:tcW w:type="dxa" w:w="1728"/>
          </w:tcPr>
          <w:p>
            <w:r>
              <w:rPr>
                <w:rFonts w:ascii="Marianne" w:hAnsi="Marianne"/>
                <w:color w:val="1D1D1B"/>
                <w:sz w:val="20"/>
              </w:rPr>
              <w:t>70,00</w:t>
            </w:r>
          </w:p>
        </w:tc>
        <w:tc>
          <w:tcPr>
            <w:tcW w:type="dxa" w:w="1728"/>
          </w:tcPr>
          <w:p>
            <w:r>
              <w:rPr>
                <w:rFonts w:ascii="Marianne" w:hAnsi="Marianne"/>
                <w:color w:val="1D1D1B"/>
                <w:sz w:val="20"/>
              </w:rPr>
              <w:t>Pay-per-use</w:t>
            </w:r>
          </w:p>
        </w:tc>
        <w:tc>
          <w:tcPr>
            <w:tcW w:type="dxa" w:w="1728"/>
          </w:tcPr>
          <w:p>
            <w:r>
              <w:rPr>
                <w:rFonts w:ascii="Marianne" w:hAnsi="Marianne"/>
                <w:color w:val="1D1D1B"/>
                <w:sz w:val="20"/>
              </w:rPr>
              <w:t>4</w:t>
            </w:r>
          </w:p>
        </w:tc>
      </w:tr>
      <w:tr>
        <w:tc>
          <w:tcPr>
            <w:tcW w:type="dxa" w:w="1728"/>
            <w:shd w:fill="FEF0E4"/>
          </w:tcPr>
          <w:p>
            <w:r>
              <w:rPr>
                <w:rFonts w:ascii="Marianne" w:hAnsi="Marianne"/>
                <w:color w:val="1D1D1B"/>
                <w:sz w:val="20"/>
              </w:rPr>
              <w:t>So Clinic Lille</w:t>
            </w:r>
          </w:p>
        </w:tc>
        <w:tc>
          <w:tcPr>
            <w:tcW w:type="dxa" w:w="1728"/>
            <w:shd w:fill="FEF0E4"/>
          </w:tcPr>
          <w:p>
            <w:r>
              <w:rPr>
                <w:rFonts w:ascii="Marianne" w:hAnsi="Marianne"/>
                <w:color w:val="1D1D1B"/>
                <w:sz w:val="20"/>
              </w:rPr>
              <w:t>709</w:t>
            </w:r>
          </w:p>
        </w:tc>
        <w:tc>
          <w:tcPr>
            <w:tcW w:type="dxa" w:w="1728"/>
            <w:shd w:fill="FEF0E4"/>
          </w:tcPr>
          <w:p>
            <w:r>
              <w:rPr>
                <w:rFonts w:ascii="Marianne" w:hAnsi="Marianne"/>
                <w:color w:val="1D1D1B"/>
                <w:sz w:val="20"/>
              </w:rPr>
              <w:t>99,00</w:t>
            </w:r>
          </w:p>
        </w:tc>
        <w:tc>
          <w:tcPr>
            <w:tcW w:type="dxa" w:w="1728"/>
            <w:shd w:fill="FEF0E4"/>
          </w:tcPr>
          <w:p>
            <w:r>
              <w:rPr>
                <w:rFonts w:ascii="Marianne" w:hAnsi="Marianne"/>
                <w:color w:val="1D1D1B"/>
                <w:sz w:val="20"/>
              </w:rPr>
              <w:t>Pay-per-use</w:t>
            </w:r>
          </w:p>
        </w:tc>
        <w:tc>
          <w:tcPr>
            <w:tcW w:type="dxa" w:w="1728"/>
            <w:shd w:fill="FEF0E4"/>
          </w:tcPr>
          <w:p>
            <w:r>
              <w:rPr>
                <w:rFonts w:ascii="Marianne" w:hAnsi="Marianne"/>
                <w:color w:val="1D1D1B"/>
                <w:sz w:val="20"/>
              </w:rPr>
              <w:t>3</w:t>
            </w:r>
          </w:p>
        </w:tc>
      </w:tr>
      <w:tr>
        <w:tc>
          <w:tcPr>
            <w:tcW w:type="dxa" w:w="1728"/>
          </w:tcPr>
          <w:p>
            <w:r>
              <w:rPr>
                <w:rFonts w:ascii="Marianne" w:hAnsi="Marianne"/>
                <w:color w:val="1D1D1B"/>
                <w:sz w:val="20"/>
              </w:rPr>
              <w:t>Thibault Fantino</w:t>
            </w:r>
          </w:p>
        </w:tc>
        <w:tc>
          <w:tcPr>
            <w:tcW w:type="dxa" w:w="1728"/>
          </w:tcPr>
          <w:p>
            <w:r>
              <w:rPr>
                <w:rFonts w:ascii="Marianne" w:hAnsi="Marianne"/>
                <w:color w:val="1D1D1B"/>
                <w:sz w:val="20"/>
              </w:rPr>
              <w:t>682</w:t>
            </w:r>
          </w:p>
        </w:tc>
        <w:tc>
          <w:tcPr>
            <w:tcW w:type="dxa" w:w="1728"/>
          </w:tcPr>
          <w:p>
            <w:r>
              <w:rPr>
                <w:rFonts w:ascii="Marianne" w:hAnsi="Marianne"/>
                <w:color w:val="1D1D1B"/>
                <w:sz w:val="20"/>
              </w:rPr>
              <w:t>69,99</w:t>
            </w:r>
          </w:p>
        </w:tc>
        <w:tc>
          <w:tcPr>
            <w:tcW w:type="dxa" w:w="1728"/>
          </w:tcPr>
          <w:p>
            <w:r>
              <w:rPr>
                <w:rFonts w:ascii="Marianne" w:hAnsi="Marianne"/>
                <w:color w:val="1D1D1B"/>
                <w:sz w:val="20"/>
              </w:rPr>
              <w:t>Forfait</w:t>
            </w:r>
          </w:p>
        </w:tc>
        <w:tc>
          <w:tcPr>
            <w:tcW w:type="dxa" w:w="1728"/>
          </w:tcPr>
          <w:p>
            <w:r>
              <w:rPr>
                <w:rFonts w:ascii="Marianne" w:hAnsi="Marianne"/>
                <w:color w:val="1D1D1B"/>
                <w:sz w:val="20"/>
              </w:rPr>
              <w:t>8</w:t>
            </w:r>
          </w:p>
        </w:tc>
      </w:tr>
      <w:tr>
        <w:tc>
          <w:tcPr>
            <w:tcW w:type="dxa" w:w="1728"/>
            <w:shd w:fill="FEF0E4"/>
          </w:tcPr>
          <w:p>
            <w:r>
              <w:rPr>
                <w:rFonts w:ascii="Marianne" w:hAnsi="Marianne"/>
                <w:color w:val="1D1D1B"/>
                <w:sz w:val="20"/>
              </w:rPr>
              <w:t>Julien Biton</w:t>
            </w:r>
          </w:p>
        </w:tc>
        <w:tc>
          <w:tcPr>
            <w:tcW w:type="dxa" w:w="1728"/>
            <w:shd w:fill="FEF0E4"/>
          </w:tcPr>
          <w:p>
            <w:r>
              <w:rPr>
                <w:rFonts w:ascii="Marianne" w:hAnsi="Marianne"/>
                <w:color w:val="1D1D1B"/>
                <w:sz w:val="20"/>
              </w:rPr>
              <w:t>625</w:t>
            </w:r>
          </w:p>
        </w:tc>
        <w:tc>
          <w:tcPr>
            <w:tcW w:type="dxa" w:w="1728"/>
            <w:shd w:fill="FEF0E4"/>
          </w:tcPr>
          <w:p>
            <w:r>
              <w:rPr>
                <w:rFonts w:ascii="Marianne" w:hAnsi="Marianne"/>
                <w:color w:val="1D1D1B"/>
                <w:sz w:val="20"/>
              </w:rPr>
              <w:t>69,99</w:t>
            </w:r>
          </w:p>
        </w:tc>
        <w:tc>
          <w:tcPr>
            <w:tcW w:type="dxa" w:w="1728"/>
            <w:shd w:fill="FEF0E4"/>
          </w:tcPr>
          <w:p>
            <w:r>
              <w:rPr>
                <w:rFonts w:ascii="Marianne" w:hAnsi="Marianne"/>
                <w:color w:val="1D1D1B"/>
                <w:sz w:val="20"/>
              </w:rPr>
              <w:t>Forfait</w:t>
            </w:r>
          </w:p>
        </w:tc>
        <w:tc>
          <w:tcPr>
            <w:tcW w:type="dxa" w:w="1728"/>
            <w:shd w:fill="FEF0E4"/>
          </w:tcPr>
          <w:p>
            <w:r>
              <w:rPr>
                <w:rFonts w:ascii="Marianne" w:hAnsi="Marianne"/>
                <w:color w:val="1D1D1B"/>
                <w:sz w:val="20"/>
              </w:rPr>
              <w:t>8</w:t>
            </w:r>
          </w:p>
        </w:tc>
      </w:tr>
      <w:tr>
        <w:tc>
          <w:tcPr>
            <w:tcW w:type="dxa" w:w="1728"/>
          </w:tcPr>
          <w:p>
            <w:r>
              <w:rPr>
                <w:rFonts w:ascii="Marianne" w:hAnsi="Marianne"/>
                <w:color w:val="1D1D1B"/>
                <w:sz w:val="20"/>
              </w:rPr>
              <w:t>Centre dentaire Canebiere</w:t>
            </w:r>
          </w:p>
        </w:tc>
        <w:tc>
          <w:tcPr>
            <w:tcW w:type="dxa" w:w="1728"/>
          </w:tcPr>
          <w:p>
            <w:r>
              <w:rPr>
                <w:rFonts w:ascii="Marianne" w:hAnsi="Marianne"/>
                <w:color w:val="1D1D1B"/>
                <w:sz w:val="20"/>
              </w:rPr>
              <w:t>624</w:t>
            </w:r>
          </w:p>
        </w:tc>
        <w:tc>
          <w:tcPr>
            <w:tcW w:type="dxa" w:w="1728"/>
          </w:tcPr>
          <w:p>
            <w:r>
              <w:rPr>
                <w:rFonts w:ascii="Marianne" w:hAnsi="Marianne"/>
                <w:color w:val="1D1D1B"/>
                <w:sz w:val="20"/>
              </w:rPr>
              <w:t>69,99</w:t>
            </w:r>
          </w:p>
        </w:tc>
        <w:tc>
          <w:tcPr>
            <w:tcW w:type="dxa" w:w="1728"/>
          </w:tcPr>
          <w:p>
            <w:r>
              <w:rPr>
                <w:rFonts w:ascii="Marianne" w:hAnsi="Marianne"/>
                <w:color w:val="1D1D1B"/>
                <w:sz w:val="20"/>
              </w:rPr>
              <w:t>Pay-per-use</w:t>
            </w:r>
          </w:p>
        </w:tc>
        <w:tc>
          <w:tcPr>
            <w:tcW w:type="dxa" w:w="1728"/>
          </w:tcPr>
          <w:p>
            <w:r>
              <w:rPr>
                <w:rFonts w:ascii="Marianne" w:hAnsi="Marianne"/>
                <w:color w:val="1D1D1B"/>
                <w:sz w:val="20"/>
              </w:rPr>
              <w:t>5</w:t>
            </w:r>
          </w:p>
        </w:tc>
      </w:tr>
      <w:tr>
        <w:tc>
          <w:tcPr>
            <w:tcW w:type="dxa" w:w="1728"/>
            <w:shd w:fill="FEF0E4"/>
          </w:tcPr>
          <w:p>
            <w:r>
              <w:rPr>
                <w:rFonts w:ascii="Marianne" w:hAnsi="Marianne"/>
                <w:color w:val="1D1D1B"/>
                <w:sz w:val="20"/>
              </w:rPr>
              <w:t>Clinique Phenicia</w:t>
            </w:r>
          </w:p>
        </w:tc>
        <w:tc>
          <w:tcPr>
            <w:tcW w:type="dxa" w:w="1728"/>
            <w:shd w:fill="FEF0E4"/>
          </w:tcPr>
          <w:p>
            <w:r>
              <w:rPr>
                <w:rFonts w:ascii="Marianne" w:hAnsi="Marianne"/>
                <w:color w:val="1D1D1B"/>
                <w:sz w:val="20"/>
              </w:rPr>
              <w:t>615</w:t>
            </w:r>
          </w:p>
        </w:tc>
        <w:tc>
          <w:tcPr>
            <w:tcW w:type="dxa" w:w="1728"/>
            <w:shd w:fill="FEF0E4"/>
          </w:tcPr>
          <w:p>
            <w:r>
              <w:rPr>
                <w:rFonts w:ascii="Marianne" w:hAnsi="Marianne"/>
                <w:color w:val="1D1D1B"/>
                <w:sz w:val="20"/>
              </w:rPr>
              <w:t>76,50</w:t>
            </w:r>
          </w:p>
        </w:tc>
        <w:tc>
          <w:tcPr>
            <w:tcW w:type="dxa" w:w="1728"/>
            <w:shd w:fill="FEF0E4"/>
          </w:tcPr>
          <w:p>
            <w:r>
              <w:rPr>
                <w:rFonts w:ascii="Marianne" w:hAnsi="Marianne"/>
                <w:color w:val="1D1D1B"/>
                <w:sz w:val="20"/>
              </w:rPr>
              <w:t>Pay-per-use</w:t>
            </w:r>
          </w:p>
        </w:tc>
        <w:tc>
          <w:tcPr>
            <w:tcW w:type="dxa" w:w="1728"/>
            <w:shd w:fill="FEF0E4"/>
          </w:tcPr>
          <w:p>
            <w:r>
              <w:rPr>
                <w:rFonts w:ascii="Marianne" w:hAnsi="Marianne"/>
                <w:color w:val="1D1D1B"/>
                <w:sz w:val="20"/>
              </w:rPr>
              <w:t>4</w:t>
            </w:r>
          </w:p>
        </w:tc>
      </w:tr>
      <w:tr>
        <w:tc>
          <w:tcPr>
            <w:tcW w:type="dxa" w:w="1728"/>
          </w:tcPr>
          <w:p>
            <w:r>
              <w:rPr>
                <w:rFonts w:ascii="Marianne" w:hAnsi="Marianne"/>
                <w:color w:val="1D1D1B"/>
                <w:sz w:val="20"/>
              </w:rPr>
              <w:t>Docteur Royer</w:t>
            </w:r>
          </w:p>
        </w:tc>
        <w:tc>
          <w:tcPr>
            <w:tcW w:type="dxa" w:w="1728"/>
          </w:tcPr>
          <w:p>
            <w:r>
              <w:rPr>
                <w:rFonts w:ascii="Marianne" w:hAnsi="Marianne"/>
                <w:color w:val="1D1D1B"/>
                <w:sz w:val="20"/>
              </w:rPr>
              <w:t>606</w:t>
            </w:r>
          </w:p>
        </w:tc>
        <w:tc>
          <w:tcPr>
            <w:tcW w:type="dxa" w:w="1728"/>
          </w:tcPr>
          <w:p>
            <w:r>
              <w:rPr>
                <w:rFonts w:ascii="Marianne" w:hAnsi="Marianne"/>
                <w:color w:val="1D1D1B"/>
                <w:sz w:val="20"/>
              </w:rPr>
              <w:t>39,99</w:t>
            </w:r>
          </w:p>
        </w:tc>
        <w:tc>
          <w:tcPr>
            <w:tcW w:type="dxa" w:w="1728"/>
          </w:tcPr>
          <w:p>
            <w:r>
              <w:rPr>
                <w:rFonts w:ascii="Marianne" w:hAnsi="Marianne"/>
                <w:color w:val="1D1D1B"/>
                <w:sz w:val="20"/>
              </w:rPr>
              <w:t>Forfait</w:t>
            </w:r>
          </w:p>
        </w:tc>
        <w:tc>
          <w:tcPr>
            <w:tcW w:type="dxa" w:w="1728"/>
          </w:tcPr>
          <w:p>
            <w:r>
              <w:rPr>
                <w:rFonts w:ascii="Marianne" w:hAnsi="Marianne"/>
                <w:color w:val="1D1D1B"/>
                <w:sz w:val="20"/>
              </w:rPr>
              <w:t>8</w:t>
            </w:r>
          </w:p>
        </w:tc>
      </w:tr>
    </w:tbl>
    <w:p/>
    <w:p>
      <w:r>
        <w:rPr>
          <w:rFonts w:ascii="Century Gothic" w:hAnsi="Century Gothic"/>
          <w:b/>
          <w:color w:val="FC8D42"/>
          <w:sz w:val="22"/>
        </w:rPr>
        <w:t xml:space="preserve">Observation cle : </w:t>
      </w:r>
      <w:r>
        <w:rPr>
          <w:rFonts w:ascii="Marianne" w:hAnsi="Marianne"/>
          <w:sz w:val="22"/>
        </w:rPr>
        <w:t>Le Labo du Sourire (plan a 69,99 EUR) a genere 1 914 EUR de revenue total, soit 27x son prix de plan mensuel. Preuve que le modele pay-per-use fonctionne et cree un expansion revenue considerable.</w:t>
      </w:r>
    </w:p>
    <w:p>
      <w:r>
        <w:br w:type="page"/>
      </w:r>
    </w:p>
    <w:p>
      <w:pPr>
        <w:pStyle w:val="Heading1"/>
      </w:pPr>
      <w:r>
        <w:t>3. Pipeline Commercial — Analyse CRM</w:t>
      </w:r>
    </w:p>
    <w:p>
      <w:r>
        <w:rPr>
          <w:color w:val="666664"/>
        </w:rPr>
        <w:t>Donnees extraites du CRM Nosho (crm.nosho.cc) au 16 mars 2026.</w:t>
      </w:r>
    </w:p>
    <w:p>
      <w:pPr>
        <w:pStyle w:val="Heading2"/>
      </w:pPr>
      <w:r>
        <w:t>Vue d'ensemble du pipeline</w:t>
      </w:r>
    </w:p>
    <w:tbl>
      <w:tblPr>
        <w:tblW w:type="auto" w:w="0"/>
        <w:jc w:val="center"/>
        <w:tblLook w:firstColumn="1" w:firstRow="1" w:lastColumn="0" w:lastRow="0" w:noHBand="0" w:noVBand="1" w:val="04A0"/>
        <w:tblBorders>
          <w:top w:val="single" w:sz="4" w:space="0" w:color="FC8D42"/>
          <w:bottom w:val="single" w:sz="4" w:space="0" w:color="FC8D42"/>
          <w:insideH w:val="single" w:sz="2" w:space="0" w:color="E8E8E5"/>
        </w:tblBorders>
      </w:tblPr>
      <w:tblGrid>
        <w:gridCol w:w="4320"/>
        <w:gridCol w:w="4320"/>
      </w:tblGrid>
      <w:tr>
        <w:tc>
          <w:tcPr>
            <w:tcW w:type="dxa" w:w="4320"/>
            <w:shd w:fill="FC8D42"/>
          </w:tcPr>
          <w:p>
            <w:r>
              <w:rPr>
                <w:rFonts w:ascii="Marianne" w:hAnsi="Marianne"/>
                <w:b/>
                <w:color w:val="FFFFFF"/>
                <w:sz w:val="20"/>
              </w:rPr>
              <w:t>Metrique</w:t>
            </w:r>
          </w:p>
        </w:tc>
        <w:tc>
          <w:tcPr>
            <w:tcW w:type="dxa" w:w="4320"/>
            <w:shd w:fill="FC8D42"/>
          </w:tcPr>
          <w:p>
            <w:r>
              <w:rPr>
                <w:rFonts w:ascii="Marianne" w:hAnsi="Marianne"/>
                <w:b/>
                <w:color w:val="FFFFFF"/>
                <w:sz w:val="20"/>
              </w:rPr>
              <w:t>Valeur</w:t>
            </w:r>
          </w:p>
        </w:tc>
      </w:tr>
      <w:tr>
        <w:tc>
          <w:tcPr>
            <w:tcW w:type="dxa" w:w="4320"/>
            <w:shd w:fill="FEF0E4"/>
          </w:tcPr>
          <w:p>
            <w:r>
              <w:rPr>
                <w:rFonts w:ascii="Marianne" w:hAnsi="Marianne"/>
                <w:color w:val="1D1D1B"/>
                <w:sz w:val="20"/>
              </w:rPr>
              <w:t>Deals actifs</w:t>
            </w:r>
          </w:p>
        </w:tc>
        <w:tc>
          <w:tcPr>
            <w:tcW w:type="dxa" w:w="4320"/>
            <w:shd w:fill="FEF0E4"/>
          </w:tcPr>
          <w:p>
            <w:r>
              <w:rPr>
                <w:rFonts w:ascii="Marianne" w:hAnsi="Marianne"/>
                <w:color w:val="1D1D1B"/>
                <w:sz w:val="20"/>
              </w:rPr>
              <w:t>50</w:t>
            </w:r>
          </w:p>
        </w:tc>
      </w:tr>
      <w:tr>
        <w:tc>
          <w:tcPr>
            <w:tcW w:type="dxa" w:w="4320"/>
          </w:tcPr>
          <w:p>
            <w:r>
              <w:rPr>
                <w:rFonts w:ascii="Marianne" w:hAnsi="Marianne"/>
                <w:color w:val="1D1D1B"/>
                <w:sz w:val="20"/>
              </w:rPr>
              <w:t>Valeur brute du pipe</w:t>
            </w:r>
          </w:p>
        </w:tc>
        <w:tc>
          <w:tcPr>
            <w:tcW w:type="dxa" w:w="4320"/>
          </w:tcPr>
          <w:p>
            <w:r>
              <w:rPr>
                <w:rFonts w:ascii="Marianne" w:hAnsi="Marianne"/>
                <w:color w:val="1D1D1B"/>
                <w:sz w:val="20"/>
              </w:rPr>
              <w:t>9 570 EUR MRR</w:t>
            </w:r>
          </w:p>
        </w:tc>
      </w:tr>
      <w:tr>
        <w:tc>
          <w:tcPr>
            <w:tcW w:type="dxa" w:w="4320"/>
            <w:shd w:fill="FEF0E4"/>
          </w:tcPr>
          <w:p>
            <w:r>
              <w:rPr>
                <w:rFonts w:ascii="Marianne" w:hAnsi="Marianne"/>
                <w:color w:val="1D1D1B"/>
                <w:sz w:val="20"/>
              </w:rPr>
              <w:t>Valeur ponderee</w:t>
            </w:r>
          </w:p>
        </w:tc>
        <w:tc>
          <w:tcPr>
            <w:tcW w:type="dxa" w:w="4320"/>
            <w:shd w:fill="FEF0E4"/>
          </w:tcPr>
          <w:p>
            <w:r>
              <w:rPr>
                <w:rFonts w:ascii="Marianne" w:hAnsi="Marianne"/>
                <w:color w:val="1D1D1B"/>
                <w:sz w:val="20"/>
              </w:rPr>
              <w:t>4 999 EUR MRR</w:t>
            </w:r>
          </w:p>
        </w:tc>
      </w:tr>
      <w:tr>
        <w:tc>
          <w:tcPr>
            <w:tcW w:type="dxa" w:w="4320"/>
          </w:tcPr>
          <w:p>
            <w:r>
              <w:rPr>
                <w:rFonts w:ascii="Marianne" w:hAnsi="Marianne"/>
                <w:color w:val="1D1D1B"/>
                <w:sz w:val="20"/>
              </w:rPr>
              <w:t>Ratio pipe/MRR</w:t>
            </w:r>
          </w:p>
        </w:tc>
        <w:tc>
          <w:tcPr>
            <w:tcW w:type="dxa" w:w="4320"/>
          </w:tcPr>
          <w:p>
            <w:r>
              <w:rPr>
                <w:rFonts w:ascii="Marianne" w:hAnsi="Marianne"/>
                <w:color w:val="1D1D1B"/>
                <w:sz w:val="20"/>
              </w:rPr>
              <w:t>2,5x (benchmark: 2-4x)</w:t>
            </w:r>
          </w:p>
        </w:tc>
      </w:tr>
      <w:tr>
        <w:tc>
          <w:tcPr>
            <w:tcW w:type="dxa" w:w="4320"/>
            <w:shd w:fill="FEF0E4"/>
          </w:tcPr>
          <w:p>
            <w:r>
              <w:rPr>
                <w:rFonts w:ascii="Marianne" w:hAnsi="Marianne"/>
                <w:color w:val="1D1D1B"/>
                <w:sz w:val="20"/>
              </w:rPr>
              <w:t>Win rate global</w:t>
            </w:r>
          </w:p>
        </w:tc>
        <w:tc>
          <w:tcPr>
            <w:tcW w:type="dxa" w:w="4320"/>
            <w:shd w:fill="FEF0E4"/>
          </w:tcPr>
          <w:p>
            <w:r>
              <w:rPr>
                <w:rFonts w:ascii="Marianne" w:hAnsi="Marianne"/>
                <w:color w:val="1D1D1B"/>
                <w:sz w:val="20"/>
              </w:rPr>
              <w:t>37,8%</w:t>
            </w:r>
          </w:p>
        </w:tc>
      </w:tr>
      <w:tr>
        <w:tc>
          <w:tcPr>
            <w:tcW w:type="dxa" w:w="4320"/>
          </w:tcPr>
          <w:p>
            <w:r>
              <w:rPr>
                <w:rFonts w:ascii="Marianne" w:hAnsi="Marianne"/>
                <w:color w:val="1D1D1B"/>
                <w:sz w:val="20"/>
              </w:rPr>
              <w:t>Contacts CRM</w:t>
            </w:r>
          </w:p>
        </w:tc>
        <w:tc>
          <w:tcPr>
            <w:tcW w:type="dxa" w:w="4320"/>
          </w:tcPr>
          <w:p>
            <w:r>
              <w:rPr>
                <w:rFonts w:ascii="Marianne" w:hAnsi="Marianne"/>
                <w:color w:val="1D1D1B"/>
                <w:sz w:val="20"/>
              </w:rPr>
              <w:t>234</w:t>
            </w:r>
          </w:p>
        </w:tc>
      </w:tr>
      <w:tr>
        <w:tc>
          <w:tcPr>
            <w:tcW w:type="dxa" w:w="4320"/>
            <w:shd w:fill="FEF0E4"/>
          </w:tcPr>
          <w:p>
            <w:r>
              <w:rPr>
                <w:rFonts w:ascii="Marianne" w:hAnsi="Marianne"/>
                <w:color w:val="1D1D1B"/>
                <w:sz w:val="20"/>
              </w:rPr>
              <w:t>Trials en cours</w:t>
            </w:r>
          </w:p>
        </w:tc>
        <w:tc>
          <w:tcPr>
            <w:tcW w:type="dxa" w:w="4320"/>
            <w:shd w:fill="FEF0E4"/>
          </w:tcPr>
          <w:p>
            <w:r>
              <w:rPr>
                <w:rFonts w:ascii="Marianne" w:hAnsi="Marianne"/>
                <w:color w:val="1D1D1B"/>
                <w:sz w:val="20"/>
              </w:rPr>
              <w:t>5</w:t>
            </w:r>
          </w:p>
        </w:tc>
      </w:tr>
    </w:tbl>
    <w:p/>
    <w:p>
      <w:pPr>
        <w:pStyle w:val="Heading2"/>
      </w:pPr>
      <w:r>
        <w:t>Funnel par etape</w:t>
      </w:r>
    </w:p>
    <w:tbl>
      <w:tblPr>
        <w:tblW w:type="auto" w:w="0"/>
        <w:jc w:val="center"/>
        <w:tblLook w:firstColumn="1" w:firstRow="1" w:lastColumn="0" w:lastRow="0" w:noHBand="0" w:noVBand="1" w:val="04A0"/>
        <w:tblBorders>
          <w:top w:val="single" w:sz="4" w:space="0" w:color="FC8D42"/>
          <w:bottom w:val="single" w:sz="4" w:space="0" w:color="FC8D42"/>
          <w:insideH w:val="single" w:sz="2" w:space="0" w:color="E8E8E5"/>
        </w:tblBorders>
      </w:tblPr>
      <w:tblGrid>
        <w:gridCol w:w="1728"/>
        <w:gridCol w:w="1728"/>
        <w:gridCol w:w="1728"/>
        <w:gridCol w:w="1728"/>
        <w:gridCol w:w="1728"/>
      </w:tblGrid>
      <w:tr>
        <w:tc>
          <w:tcPr>
            <w:tcW w:type="dxa" w:w="1728"/>
            <w:shd w:fill="FC8D42"/>
          </w:tcPr>
          <w:p>
            <w:r>
              <w:rPr>
                <w:rFonts w:ascii="Marianne" w:hAnsi="Marianne"/>
                <w:b/>
                <w:color w:val="FFFFFF"/>
                <w:sz w:val="20"/>
              </w:rPr>
              <w:t>Etape</w:t>
            </w:r>
          </w:p>
        </w:tc>
        <w:tc>
          <w:tcPr>
            <w:tcW w:type="dxa" w:w="1728"/>
            <w:shd w:fill="FC8D42"/>
          </w:tcPr>
          <w:p>
            <w:r>
              <w:rPr>
                <w:rFonts w:ascii="Marianne" w:hAnsi="Marianne"/>
                <w:b/>
                <w:color w:val="FFFFFF"/>
                <w:sz w:val="20"/>
              </w:rPr>
              <w:t>Deals</w:t>
            </w:r>
          </w:p>
        </w:tc>
        <w:tc>
          <w:tcPr>
            <w:tcW w:type="dxa" w:w="1728"/>
            <w:shd w:fill="FC8D42"/>
          </w:tcPr>
          <w:p>
            <w:r>
              <w:rPr>
                <w:rFonts w:ascii="Marianne" w:hAnsi="Marianne"/>
                <w:b/>
                <w:color w:val="FFFFFF"/>
                <w:sz w:val="20"/>
              </w:rPr>
              <w:t>MRR potentiel (EUR)</w:t>
            </w:r>
          </w:p>
        </w:tc>
        <w:tc>
          <w:tcPr>
            <w:tcW w:type="dxa" w:w="1728"/>
            <w:shd w:fill="FC8D42"/>
          </w:tcPr>
          <w:p>
            <w:r>
              <w:rPr>
                <w:rFonts w:ascii="Marianne" w:hAnsi="Marianne"/>
                <w:b/>
                <w:color w:val="FFFFFF"/>
                <w:sz w:val="20"/>
              </w:rPr>
              <w:t>MRR pondere (EUR)</w:t>
            </w:r>
          </w:p>
        </w:tc>
        <w:tc>
          <w:tcPr>
            <w:tcW w:type="dxa" w:w="1728"/>
            <w:shd w:fill="FC8D42"/>
          </w:tcPr>
          <w:p>
            <w:r>
              <w:rPr>
                <w:rFonts w:ascii="Marianne" w:hAnsi="Marianne"/>
                <w:b/>
                <w:color w:val="FFFFFF"/>
                <w:sz w:val="20"/>
              </w:rPr>
              <w:t>Proba</w:t>
            </w:r>
          </w:p>
        </w:tc>
      </w:tr>
      <w:tr>
        <w:tc>
          <w:tcPr>
            <w:tcW w:type="dxa" w:w="1728"/>
            <w:shd w:fill="FEF0E4"/>
          </w:tcPr>
          <w:p>
            <w:r>
              <w:rPr>
                <w:rFonts w:ascii="Marianne" w:hAnsi="Marianne"/>
                <w:color w:val="1D1D1B"/>
                <w:sz w:val="20"/>
              </w:rPr>
              <w:t>Lead</w:t>
            </w:r>
          </w:p>
        </w:tc>
        <w:tc>
          <w:tcPr>
            <w:tcW w:type="dxa" w:w="1728"/>
            <w:shd w:fill="FEF0E4"/>
          </w:tcPr>
          <w:p>
            <w:r>
              <w:rPr>
                <w:rFonts w:ascii="Marianne" w:hAnsi="Marianne"/>
                <w:color w:val="1D1D1B"/>
                <w:sz w:val="20"/>
              </w:rPr>
              <w:t>16</w:t>
            </w:r>
          </w:p>
        </w:tc>
        <w:tc>
          <w:tcPr>
            <w:tcW w:type="dxa" w:w="1728"/>
            <w:shd w:fill="FEF0E4"/>
          </w:tcPr>
          <w:p>
            <w:r>
              <w:rPr>
                <w:rFonts w:ascii="Marianne" w:hAnsi="Marianne"/>
                <w:color w:val="1D1D1B"/>
                <w:sz w:val="20"/>
              </w:rPr>
              <w:t>1 099</w:t>
            </w:r>
          </w:p>
        </w:tc>
        <w:tc>
          <w:tcPr>
            <w:tcW w:type="dxa" w:w="1728"/>
            <w:shd w:fill="FEF0E4"/>
          </w:tcPr>
          <w:p>
            <w:r>
              <w:rPr>
                <w:rFonts w:ascii="Marianne" w:hAnsi="Marianne"/>
                <w:color w:val="1D1D1B"/>
                <w:sz w:val="20"/>
              </w:rPr>
              <w:t>110</w:t>
            </w:r>
          </w:p>
        </w:tc>
        <w:tc>
          <w:tcPr>
            <w:tcW w:type="dxa" w:w="1728"/>
            <w:shd w:fill="FEF0E4"/>
          </w:tcPr>
          <w:p>
            <w:r>
              <w:rPr>
                <w:rFonts w:ascii="Marianne" w:hAnsi="Marianne"/>
                <w:color w:val="1D1D1B"/>
                <w:sz w:val="20"/>
              </w:rPr>
              <w:t>10%</w:t>
            </w:r>
          </w:p>
        </w:tc>
      </w:tr>
      <w:tr>
        <w:tc>
          <w:tcPr>
            <w:tcW w:type="dxa" w:w="1728"/>
          </w:tcPr>
          <w:p>
            <w:r>
              <w:rPr>
                <w:rFonts w:ascii="Marianne" w:hAnsi="Marianne"/>
                <w:color w:val="1D1D1B"/>
                <w:sz w:val="20"/>
              </w:rPr>
              <w:t>Qualified</w:t>
            </w:r>
          </w:p>
        </w:tc>
        <w:tc>
          <w:tcPr>
            <w:tcW w:type="dxa" w:w="1728"/>
          </w:tcPr>
          <w:p>
            <w:r>
              <w:rPr>
                <w:rFonts w:ascii="Marianne" w:hAnsi="Marianne"/>
                <w:color w:val="1D1D1B"/>
                <w:sz w:val="20"/>
              </w:rPr>
              <w:t>11</w:t>
            </w:r>
          </w:p>
        </w:tc>
        <w:tc>
          <w:tcPr>
            <w:tcW w:type="dxa" w:w="1728"/>
          </w:tcPr>
          <w:p>
            <w:r>
              <w:rPr>
                <w:rFonts w:ascii="Marianne" w:hAnsi="Marianne"/>
                <w:color w:val="1D1D1B"/>
                <w:sz w:val="20"/>
              </w:rPr>
              <w:t>659</w:t>
            </w:r>
          </w:p>
        </w:tc>
        <w:tc>
          <w:tcPr>
            <w:tcW w:type="dxa" w:w="1728"/>
          </w:tcPr>
          <w:p>
            <w:r>
              <w:rPr>
                <w:rFonts w:ascii="Marianne" w:hAnsi="Marianne"/>
                <w:color w:val="1D1D1B"/>
                <w:sz w:val="20"/>
              </w:rPr>
              <w:t>198</w:t>
            </w:r>
          </w:p>
        </w:tc>
        <w:tc>
          <w:tcPr>
            <w:tcW w:type="dxa" w:w="1728"/>
          </w:tcPr>
          <w:p>
            <w:r>
              <w:rPr>
                <w:rFonts w:ascii="Marianne" w:hAnsi="Marianne"/>
                <w:color w:val="1D1D1B"/>
                <w:sz w:val="20"/>
              </w:rPr>
              <w:t>30%</w:t>
            </w:r>
          </w:p>
        </w:tc>
      </w:tr>
      <w:tr>
        <w:tc>
          <w:tcPr>
            <w:tcW w:type="dxa" w:w="1728"/>
            <w:shd w:fill="FEF0E4"/>
          </w:tcPr>
          <w:p>
            <w:r>
              <w:rPr>
                <w:rFonts w:ascii="Marianne" w:hAnsi="Marianne"/>
                <w:color w:val="1D1D1B"/>
                <w:sz w:val="20"/>
              </w:rPr>
              <w:t>Follow-up</w:t>
            </w:r>
          </w:p>
        </w:tc>
        <w:tc>
          <w:tcPr>
            <w:tcW w:type="dxa" w:w="1728"/>
            <w:shd w:fill="FEF0E4"/>
          </w:tcPr>
          <w:p>
            <w:r>
              <w:rPr>
                <w:rFonts w:ascii="Marianne" w:hAnsi="Marianne"/>
                <w:color w:val="1D1D1B"/>
                <w:sz w:val="20"/>
              </w:rPr>
              <w:t>17</w:t>
            </w:r>
          </w:p>
        </w:tc>
        <w:tc>
          <w:tcPr>
            <w:tcW w:type="dxa" w:w="1728"/>
            <w:shd w:fill="FEF0E4"/>
          </w:tcPr>
          <w:p>
            <w:r>
              <w:rPr>
                <w:rFonts w:ascii="Marianne" w:hAnsi="Marianne"/>
                <w:color w:val="1D1D1B"/>
                <w:sz w:val="20"/>
              </w:rPr>
              <w:t>6 604</w:t>
            </w:r>
          </w:p>
        </w:tc>
        <w:tc>
          <w:tcPr>
            <w:tcW w:type="dxa" w:w="1728"/>
            <w:shd w:fill="FEF0E4"/>
          </w:tcPr>
          <w:p>
            <w:r>
              <w:rPr>
                <w:rFonts w:ascii="Marianne" w:hAnsi="Marianne"/>
                <w:color w:val="1D1D1B"/>
                <w:sz w:val="20"/>
              </w:rPr>
              <w:t>3 302</w:t>
            </w:r>
          </w:p>
        </w:tc>
        <w:tc>
          <w:tcPr>
            <w:tcW w:type="dxa" w:w="1728"/>
            <w:shd w:fill="FEF0E4"/>
          </w:tcPr>
          <w:p>
            <w:r>
              <w:rPr>
                <w:rFonts w:ascii="Marianne" w:hAnsi="Marianne"/>
                <w:color w:val="1D1D1B"/>
                <w:sz w:val="20"/>
              </w:rPr>
              <w:t>50%</w:t>
            </w:r>
          </w:p>
        </w:tc>
      </w:tr>
      <w:tr>
        <w:tc>
          <w:tcPr>
            <w:tcW w:type="dxa" w:w="1728"/>
          </w:tcPr>
          <w:p>
            <w:r>
              <w:rPr>
                <w:rFonts w:ascii="Marianne" w:hAnsi="Marianne"/>
                <w:color w:val="1D1D1B"/>
                <w:sz w:val="20"/>
              </w:rPr>
              <w:t>Trial</w:t>
            </w:r>
          </w:p>
        </w:tc>
        <w:tc>
          <w:tcPr>
            <w:tcW w:type="dxa" w:w="1728"/>
          </w:tcPr>
          <w:p>
            <w:r>
              <w:rPr>
                <w:rFonts w:ascii="Marianne" w:hAnsi="Marianne"/>
                <w:color w:val="1D1D1B"/>
                <w:sz w:val="20"/>
              </w:rPr>
              <w:t>5</w:t>
            </w:r>
          </w:p>
        </w:tc>
        <w:tc>
          <w:tcPr>
            <w:tcW w:type="dxa" w:w="1728"/>
          </w:tcPr>
          <w:p>
            <w:r>
              <w:rPr>
                <w:rFonts w:ascii="Marianne" w:hAnsi="Marianne"/>
                <w:color w:val="1D1D1B"/>
                <w:sz w:val="20"/>
              </w:rPr>
              <w:t>1 208</w:t>
            </w:r>
          </w:p>
        </w:tc>
        <w:tc>
          <w:tcPr>
            <w:tcW w:type="dxa" w:w="1728"/>
          </w:tcPr>
          <w:p>
            <w:r>
              <w:rPr>
                <w:rFonts w:ascii="Marianne" w:hAnsi="Marianne"/>
                <w:color w:val="1D1D1B"/>
                <w:sz w:val="20"/>
              </w:rPr>
              <w:t>966</w:t>
            </w:r>
          </w:p>
        </w:tc>
        <w:tc>
          <w:tcPr>
            <w:tcW w:type="dxa" w:w="1728"/>
          </w:tcPr>
          <w:p>
            <w:r>
              <w:rPr>
                <w:rFonts w:ascii="Marianne" w:hAnsi="Marianne"/>
                <w:color w:val="1D1D1B"/>
                <w:sz w:val="20"/>
              </w:rPr>
              <w:t>80%</w:t>
            </w:r>
          </w:p>
        </w:tc>
      </w:tr>
      <w:tr>
        <w:tc>
          <w:tcPr>
            <w:tcW w:type="dxa" w:w="1728"/>
            <w:shd w:fill="FEF0E4"/>
          </w:tcPr>
          <w:p>
            <w:r>
              <w:rPr>
                <w:rFonts w:ascii="Marianne" w:hAnsi="Marianne"/>
                <w:color w:val="1D1D1B"/>
                <w:sz w:val="20"/>
              </w:rPr>
              <w:t>Total actif</w:t>
            </w:r>
          </w:p>
        </w:tc>
        <w:tc>
          <w:tcPr>
            <w:tcW w:type="dxa" w:w="1728"/>
            <w:shd w:fill="FEF0E4"/>
          </w:tcPr>
          <w:p>
            <w:r>
              <w:rPr>
                <w:rFonts w:ascii="Marianne" w:hAnsi="Marianne"/>
                <w:color w:val="1D1D1B"/>
                <w:sz w:val="20"/>
              </w:rPr>
              <w:t>50</w:t>
            </w:r>
          </w:p>
        </w:tc>
        <w:tc>
          <w:tcPr>
            <w:tcW w:type="dxa" w:w="1728"/>
            <w:shd w:fill="FEF0E4"/>
          </w:tcPr>
          <w:p>
            <w:r>
              <w:rPr>
                <w:rFonts w:ascii="Marianne" w:hAnsi="Marianne"/>
                <w:color w:val="1D1D1B"/>
                <w:sz w:val="20"/>
              </w:rPr>
              <w:t>9 570</w:t>
            </w:r>
          </w:p>
        </w:tc>
        <w:tc>
          <w:tcPr>
            <w:tcW w:type="dxa" w:w="1728"/>
            <w:shd w:fill="FEF0E4"/>
          </w:tcPr>
          <w:p>
            <w:r>
              <w:rPr>
                <w:rFonts w:ascii="Marianne" w:hAnsi="Marianne"/>
                <w:color w:val="1D1D1B"/>
                <w:sz w:val="20"/>
              </w:rPr>
              <w:t>4 999</w:t>
            </w:r>
          </w:p>
        </w:tc>
        <w:tc>
          <w:tcPr>
            <w:tcW w:type="dxa" w:w="1728"/>
            <w:shd w:fill="FEF0E4"/>
          </w:tcPr>
          <w:p>
            <w:r>
              <w:rPr>
                <w:rFonts w:ascii="Marianne" w:hAnsi="Marianne"/>
                <w:color w:val="1D1D1B"/>
                <w:sz w:val="20"/>
              </w:rPr>
              <w:t>—</w:t>
            </w:r>
          </w:p>
        </w:tc>
      </w:tr>
    </w:tbl>
    <w:p/>
    <w:p>
      <w:pPr>
        <w:pStyle w:val="Heading2"/>
      </w:pPr>
      <w:r>
        <w:t>Top deals dans le pipeline actif</w:t>
      </w:r>
    </w:p>
    <w:tbl>
      <w:tblPr>
        <w:tblW w:type="auto" w:w="0"/>
        <w:jc w:val="center"/>
        <w:tblLook w:firstColumn="1" w:firstRow="1" w:lastColumn="0" w:lastRow="0" w:noHBand="0" w:noVBand="1" w:val="04A0"/>
        <w:tblBorders>
          <w:top w:val="single" w:sz="4" w:space="0" w:color="FC8D42"/>
          <w:bottom w:val="single" w:sz="4" w:space="0" w:color="FC8D42"/>
          <w:insideH w:val="single" w:sz="2" w:space="0" w:color="E8E8E5"/>
        </w:tblBorders>
      </w:tblPr>
      <w:tblGrid>
        <w:gridCol w:w="1728"/>
        <w:gridCol w:w="1728"/>
        <w:gridCol w:w="1728"/>
        <w:gridCol w:w="1728"/>
        <w:gridCol w:w="1728"/>
      </w:tblGrid>
      <w:tr>
        <w:tc>
          <w:tcPr>
            <w:tcW w:type="dxa" w:w="1728"/>
            <w:shd w:fill="FC8D42"/>
          </w:tcPr>
          <w:p>
            <w:r>
              <w:rPr>
                <w:rFonts w:ascii="Marianne" w:hAnsi="Marianne"/>
                <w:b/>
                <w:color w:val="FFFFFF"/>
                <w:sz w:val="20"/>
              </w:rPr>
              <w:t>Deal</w:t>
            </w:r>
          </w:p>
        </w:tc>
        <w:tc>
          <w:tcPr>
            <w:tcW w:type="dxa" w:w="1728"/>
            <w:shd w:fill="FC8D42"/>
          </w:tcPr>
          <w:p>
            <w:r>
              <w:rPr>
                <w:rFonts w:ascii="Marianne" w:hAnsi="Marianne"/>
                <w:b/>
                <w:color w:val="FFFFFF"/>
                <w:sz w:val="20"/>
              </w:rPr>
              <w:t>Entreprise</w:t>
            </w:r>
          </w:p>
        </w:tc>
        <w:tc>
          <w:tcPr>
            <w:tcW w:type="dxa" w:w="1728"/>
            <w:shd w:fill="FC8D42"/>
          </w:tcPr>
          <w:p>
            <w:r>
              <w:rPr>
                <w:rFonts w:ascii="Marianne" w:hAnsi="Marianne"/>
                <w:b/>
                <w:color w:val="FFFFFF"/>
                <w:sz w:val="20"/>
              </w:rPr>
              <w:t>MRR (EUR)</w:t>
            </w:r>
          </w:p>
        </w:tc>
        <w:tc>
          <w:tcPr>
            <w:tcW w:type="dxa" w:w="1728"/>
            <w:shd w:fill="FC8D42"/>
          </w:tcPr>
          <w:p>
            <w:r>
              <w:rPr>
                <w:rFonts w:ascii="Marianne" w:hAnsi="Marianne"/>
                <w:b/>
                <w:color w:val="FFFFFF"/>
                <w:sz w:val="20"/>
              </w:rPr>
              <w:t>Etape</w:t>
            </w:r>
          </w:p>
        </w:tc>
        <w:tc>
          <w:tcPr>
            <w:tcW w:type="dxa" w:w="1728"/>
            <w:shd w:fill="FC8D42"/>
          </w:tcPr>
          <w:p>
            <w:r>
              <w:rPr>
                <w:rFonts w:ascii="Marianne" w:hAnsi="Marianne"/>
                <w:b/>
                <w:color w:val="FFFFFF"/>
                <w:sz w:val="20"/>
              </w:rPr>
              <w:t>Closing</w:t>
            </w:r>
          </w:p>
        </w:tc>
      </w:tr>
      <w:tr>
        <w:tc>
          <w:tcPr>
            <w:tcW w:type="dxa" w:w="1728"/>
            <w:shd w:fill="FEF0E4"/>
          </w:tcPr>
          <w:p>
            <w:r>
              <w:rPr>
                <w:rFonts w:ascii="Marianne" w:hAnsi="Marianne"/>
                <w:color w:val="1D1D1B"/>
                <w:sz w:val="20"/>
              </w:rPr>
              <w:t>David Souchon</w:t>
            </w:r>
          </w:p>
        </w:tc>
        <w:tc>
          <w:tcPr>
            <w:tcW w:type="dxa" w:w="1728"/>
            <w:shd w:fill="FEF0E4"/>
          </w:tcPr>
          <w:p>
            <w:r>
              <w:rPr>
                <w:rFonts w:ascii="Marianne" w:hAnsi="Marianne"/>
                <w:color w:val="1D1D1B"/>
                <w:sz w:val="20"/>
              </w:rPr>
              <w:t>Oxance</w:t>
            </w:r>
          </w:p>
        </w:tc>
        <w:tc>
          <w:tcPr>
            <w:tcW w:type="dxa" w:w="1728"/>
            <w:shd w:fill="FEF0E4"/>
          </w:tcPr>
          <w:p>
            <w:r>
              <w:rPr>
                <w:rFonts w:ascii="Marianne" w:hAnsi="Marianne"/>
                <w:color w:val="1D1D1B"/>
                <w:sz w:val="20"/>
              </w:rPr>
              <w:t>2 500</w:t>
            </w:r>
          </w:p>
        </w:tc>
        <w:tc>
          <w:tcPr>
            <w:tcW w:type="dxa" w:w="1728"/>
            <w:shd w:fill="FEF0E4"/>
          </w:tcPr>
          <w:p>
            <w:r>
              <w:rPr>
                <w:rFonts w:ascii="Marianne" w:hAnsi="Marianne"/>
                <w:color w:val="1D1D1B"/>
                <w:sz w:val="20"/>
              </w:rPr>
              <w:t>Follow-up</w:t>
            </w:r>
          </w:p>
        </w:tc>
        <w:tc>
          <w:tcPr>
            <w:tcW w:type="dxa" w:w="1728"/>
            <w:shd w:fill="FEF0E4"/>
          </w:tcPr>
          <w:p>
            <w:r>
              <w:rPr>
                <w:rFonts w:ascii="Marianne" w:hAnsi="Marianne"/>
                <w:color w:val="1D1D1B"/>
                <w:sz w:val="20"/>
              </w:rPr>
              <w:t>Mars</w:t>
            </w:r>
          </w:p>
        </w:tc>
      </w:tr>
      <w:tr>
        <w:tc>
          <w:tcPr>
            <w:tcW w:type="dxa" w:w="1728"/>
          </w:tcPr>
          <w:p>
            <w:r>
              <w:rPr>
                <w:rFonts w:ascii="Marianne" w:hAnsi="Marianne"/>
                <w:color w:val="1D1D1B"/>
                <w:sz w:val="20"/>
              </w:rPr>
              <w:t>Thomas Alston</w:t>
            </w:r>
          </w:p>
        </w:tc>
        <w:tc>
          <w:tcPr>
            <w:tcW w:type="dxa" w:w="1728"/>
          </w:tcPr>
          <w:p>
            <w:r>
              <w:rPr>
                <w:rFonts w:ascii="Marianne" w:hAnsi="Marianne"/>
                <w:color w:val="1D1D1B"/>
                <w:sz w:val="20"/>
              </w:rPr>
              <w:t>DocCity</w:t>
            </w:r>
          </w:p>
        </w:tc>
        <w:tc>
          <w:tcPr>
            <w:tcW w:type="dxa" w:w="1728"/>
          </w:tcPr>
          <w:p>
            <w:r>
              <w:rPr>
                <w:rFonts w:ascii="Marianne" w:hAnsi="Marianne"/>
                <w:color w:val="1D1D1B"/>
                <w:sz w:val="20"/>
              </w:rPr>
              <w:t>1 764</w:t>
            </w:r>
          </w:p>
        </w:tc>
        <w:tc>
          <w:tcPr>
            <w:tcW w:type="dxa" w:w="1728"/>
          </w:tcPr>
          <w:p>
            <w:r>
              <w:rPr>
                <w:rFonts w:ascii="Marianne" w:hAnsi="Marianne"/>
                <w:color w:val="1D1D1B"/>
                <w:sz w:val="20"/>
              </w:rPr>
              <w:t>Follow-up</w:t>
            </w:r>
          </w:p>
        </w:tc>
        <w:tc>
          <w:tcPr>
            <w:tcW w:type="dxa" w:w="1728"/>
          </w:tcPr>
          <w:p>
            <w:r>
              <w:rPr>
                <w:rFonts w:ascii="Marianne" w:hAnsi="Marianne"/>
                <w:color w:val="1D1D1B"/>
                <w:sz w:val="20"/>
              </w:rPr>
              <w:t>—</w:t>
            </w:r>
          </w:p>
        </w:tc>
      </w:tr>
      <w:tr>
        <w:tc>
          <w:tcPr>
            <w:tcW w:type="dxa" w:w="1728"/>
            <w:shd w:fill="FEF0E4"/>
          </w:tcPr>
          <w:p>
            <w:r>
              <w:rPr>
                <w:rFonts w:ascii="Marianne" w:hAnsi="Marianne"/>
                <w:color w:val="1D1D1B"/>
                <w:sz w:val="20"/>
              </w:rPr>
              <w:t>C. Guillalmon</w:t>
            </w:r>
          </w:p>
        </w:tc>
        <w:tc>
          <w:tcPr>
            <w:tcW w:type="dxa" w:w="1728"/>
            <w:shd w:fill="FEF0E4"/>
          </w:tcPr>
          <w:p>
            <w:r>
              <w:rPr>
                <w:rFonts w:ascii="Marianne" w:hAnsi="Marianne"/>
                <w:color w:val="1D1D1B"/>
                <w:sz w:val="20"/>
              </w:rPr>
              <w:t>Ramsay Sante</w:t>
            </w:r>
          </w:p>
        </w:tc>
        <w:tc>
          <w:tcPr>
            <w:tcW w:type="dxa" w:w="1728"/>
            <w:shd w:fill="FEF0E4"/>
          </w:tcPr>
          <w:p>
            <w:r>
              <w:rPr>
                <w:rFonts w:ascii="Marianne" w:hAnsi="Marianne"/>
                <w:color w:val="1D1D1B"/>
                <w:sz w:val="20"/>
              </w:rPr>
              <w:t>650</w:t>
            </w:r>
          </w:p>
        </w:tc>
        <w:tc>
          <w:tcPr>
            <w:tcW w:type="dxa" w:w="1728"/>
            <w:shd w:fill="FEF0E4"/>
          </w:tcPr>
          <w:p>
            <w:r>
              <w:rPr>
                <w:rFonts w:ascii="Marianne" w:hAnsi="Marianne"/>
                <w:color w:val="1D1D1B"/>
                <w:sz w:val="20"/>
              </w:rPr>
              <w:t>Lead</w:t>
            </w:r>
          </w:p>
        </w:tc>
        <w:tc>
          <w:tcPr>
            <w:tcW w:type="dxa" w:w="1728"/>
            <w:shd w:fill="FEF0E4"/>
          </w:tcPr>
          <w:p>
            <w:r>
              <w:rPr>
                <w:rFonts w:ascii="Marianne" w:hAnsi="Marianne"/>
                <w:color w:val="1D1D1B"/>
                <w:sz w:val="20"/>
              </w:rPr>
              <w:t>Mai</w:t>
            </w:r>
          </w:p>
        </w:tc>
      </w:tr>
      <w:tr>
        <w:tc>
          <w:tcPr>
            <w:tcW w:type="dxa" w:w="1728"/>
          </w:tcPr>
          <w:p>
            <w:r>
              <w:rPr>
                <w:rFonts w:ascii="Marianne" w:hAnsi="Marianne"/>
                <w:color w:val="1D1D1B"/>
                <w:sz w:val="20"/>
              </w:rPr>
              <w:t>GHICL</w:t>
            </w:r>
          </w:p>
        </w:tc>
        <w:tc>
          <w:tcPr>
            <w:tcW w:type="dxa" w:w="1728"/>
          </w:tcPr>
          <w:p>
            <w:r>
              <w:rPr>
                <w:rFonts w:ascii="Marianne" w:hAnsi="Marianne"/>
                <w:color w:val="1D1D1B"/>
                <w:sz w:val="20"/>
              </w:rPr>
              <w:t>Hopital Lille</w:t>
            </w:r>
          </w:p>
        </w:tc>
        <w:tc>
          <w:tcPr>
            <w:tcW w:type="dxa" w:w="1728"/>
          </w:tcPr>
          <w:p>
            <w:r>
              <w:rPr>
                <w:rFonts w:ascii="Marianne" w:hAnsi="Marianne"/>
                <w:color w:val="1D1D1B"/>
                <w:sz w:val="20"/>
              </w:rPr>
              <w:t>590</w:t>
            </w:r>
          </w:p>
        </w:tc>
        <w:tc>
          <w:tcPr>
            <w:tcW w:type="dxa" w:w="1728"/>
          </w:tcPr>
          <w:p>
            <w:r>
              <w:rPr>
                <w:rFonts w:ascii="Marianne" w:hAnsi="Marianne"/>
                <w:color w:val="1D1D1B"/>
                <w:sz w:val="20"/>
              </w:rPr>
              <w:t>Trial</w:t>
            </w:r>
          </w:p>
        </w:tc>
        <w:tc>
          <w:tcPr>
            <w:tcW w:type="dxa" w:w="1728"/>
          </w:tcPr>
          <w:p>
            <w:r>
              <w:rPr>
                <w:rFonts w:ascii="Marianne" w:hAnsi="Marianne"/>
                <w:color w:val="1D1D1B"/>
                <w:sz w:val="20"/>
              </w:rPr>
              <w:t>Mars</w:t>
            </w:r>
          </w:p>
        </w:tc>
      </w:tr>
      <w:tr>
        <w:tc>
          <w:tcPr>
            <w:tcW w:type="dxa" w:w="1728"/>
            <w:shd w:fill="FEF0E4"/>
          </w:tcPr>
          <w:p>
            <w:r>
              <w:rPr>
                <w:rFonts w:ascii="Marianne" w:hAnsi="Marianne"/>
                <w:color w:val="1D1D1B"/>
                <w:sz w:val="20"/>
              </w:rPr>
              <w:t>E. Garrido-Pradalie</w:t>
            </w:r>
          </w:p>
        </w:tc>
        <w:tc>
          <w:tcPr>
            <w:tcW w:type="dxa" w:w="1728"/>
            <w:shd w:fill="FEF0E4"/>
          </w:tcPr>
          <w:p>
            <w:r>
              <w:rPr>
                <w:rFonts w:ascii="Marianne" w:hAnsi="Marianne"/>
                <w:color w:val="1D1D1B"/>
                <w:sz w:val="20"/>
              </w:rPr>
              <w:t>AP-HM Marseille</w:t>
            </w:r>
          </w:p>
        </w:tc>
        <w:tc>
          <w:tcPr>
            <w:tcW w:type="dxa" w:w="1728"/>
            <w:shd w:fill="FEF0E4"/>
          </w:tcPr>
          <w:p>
            <w:r>
              <w:rPr>
                <w:rFonts w:ascii="Marianne" w:hAnsi="Marianne"/>
                <w:color w:val="1D1D1B"/>
                <w:sz w:val="20"/>
              </w:rPr>
              <w:t>520</w:t>
            </w:r>
          </w:p>
        </w:tc>
        <w:tc>
          <w:tcPr>
            <w:tcW w:type="dxa" w:w="1728"/>
            <w:shd w:fill="FEF0E4"/>
          </w:tcPr>
          <w:p>
            <w:r>
              <w:rPr>
                <w:rFonts w:ascii="Marianne" w:hAnsi="Marianne"/>
                <w:color w:val="1D1D1B"/>
                <w:sz w:val="20"/>
              </w:rPr>
              <w:t>Follow-up</w:t>
            </w:r>
          </w:p>
        </w:tc>
        <w:tc>
          <w:tcPr>
            <w:tcW w:type="dxa" w:w="1728"/>
            <w:shd w:fill="FEF0E4"/>
          </w:tcPr>
          <w:p>
            <w:r>
              <w:rPr>
                <w:rFonts w:ascii="Marianne" w:hAnsi="Marianne"/>
                <w:color w:val="1D1D1B"/>
                <w:sz w:val="20"/>
              </w:rPr>
              <w:t>Avril</w:t>
            </w:r>
          </w:p>
        </w:tc>
      </w:tr>
      <w:tr>
        <w:tc>
          <w:tcPr>
            <w:tcW w:type="dxa" w:w="1728"/>
          </w:tcPr>
          <w:p>
            <w:r>
              <w:rPr>
                <w:rFonts w:ascii="Marianne" w:hAnsi="Marianne"/>
                <w:color w:val="1D1D1B"/>
                <w:sz w:val="20"/>
              </w:rPr>
              <w:t>B. Appiah</w:t>
            </w:r>
          </w:p>
        </w:tc>
        <w:tc>
          <w:tcPr>
            <w:tcW w:type="dxa" w:w="1728"/>
          </w:tcPr>
          <w:p>
            <w:r>
              <w:rPr>
                <w:rFonts w:ascii="Marianne" w:hAnsi="Marianne"/>
                <w:color w:val="1D1D1B"/>
                <w:sz w:val="20"/>
              </w:rPr>
              <w:t>CHU Toulouse</w:t>
            </w:r>
          </w:p>
        </w:tc>
        <w:tc>
          <w:tcPr>
            <w:tcW w:type="dxa" w:w="1728"/>
          </w:tcPr>
          <w:p>
            <w:r>
              <w:rPr>
                <w:rFonts w:ascii="Marianne" w:hAnsi="Marianne"/>
                <w:color w:val="1D1D1B"/>
                <w:sz w:val="20"/>
              </w:rPr>
              <w:t>360</w:t>
            </w:r>
          </w:p>
        </w:tc>
        <w:tc>
          <w:tcPr>
            <w:tcW w:type="dxa" w:w="1728"/>
          </w:tcPr>
          <w:p>
            <w:r>
              <w:rPr>
                <w:rFonts w:ascii="Marianne" w:hAnsi="Marianne"/>
                <w:color w:val="1D1D1B"/>
                <w:sz w:val="20"/>
              </w:rPr>
              <w:t>Follow-up</w:t>
            </w:r>
          </w:p>
        </w:tc>
        <w:tc>
          <w:tcPr>
            <w:tcW w:type="dxa" w:w="1728"/>
          </w:tcPr>
          <w:p>
            <w:r>
              <w:rPr>
                <w:rFonts w:ascii="Marianne" w:hAnsi="Marianne"/>
                <w:color w:val="1D1D1B"/>
                <w:sz w:val="20"/>
              </w:rPr>
              <w:t>—</w:t>
            </w:r>
          </w:p>
        </w:tc>
      </w:tr>
      <w:tr>
        <w:tc>
          <w:tcPr>
            <w:tcW w:type="dxa" w:w="1728"/>
            <w:shd w:fill="FEF0E4"/>
          </w:tcPr>
          <w:p>
            <w:r>
              <w:rPr>
                <w:rFonts w:ascii="Marianne" w:hAnsi="Marianne"/>
                <w:color w:val="1D1D1B"/>
                <w:sz w:val="20"/>
              </w:rPr>
              <w:t>Y. Beddar</w:t>
            </w:r>
          </w:p>
        </w:tc>
        <w:tc>
          <w:tcPr>
            <w:tcW w:type="dxa" w:w="1728"/>
            <w:shd w:fill="FEF0E4"/>
          </w:tcPr>
          <w:p>
            <w:r>
              <w:rPr>
                <w:rFonts w:ascii="Marianne" w:hAnsi="Marianne"/>
                <w:color w:val="1D1D1B"/>
                <w:sz w:val="20"/>
              </w:rPr>
              <w:t>Les Lauriers</w:t>
            </w:r>
          </w:p>
        </w:tc>
        <w:tc>
          <w:tcPr>
            <w:tcW w:type="dxa" w:w="1728"/>
            <w:shd w:fill="FEF0E4"/>
          </w:tcPr>
          <w:p>
            <w:r>
              <w:rPr>
                <w:rFonts w:ascii="Marianne" w:hAnsi="Marianne"/>
                <w:color w:val="1D1D1B"/>
                <w:sz w:val="20"/>
              </w:rPr>
              <w:t>360</w:t>
            </w:r>
          </w:p>
        </w:tc>
        <w:tc>
          <w:tcPr>
            <w:tcW w:type="dxa" w:w="1728"/>
            <w:shd w:fill="FEF0E4"/>
          </w:tcPr>
          <w:p>
            <w:r>
              <w:rPr>
                <w:rFonts w:ascii="Marianne" w:hAnsi="Marianne"/>
                <w:color w:val="1D1D1B"/>
                <w:sz w:val="20"/>
              </w:rPr>
              <w:t>Follow-up</w:t>
            </w:r>
          </w:p>
        </w:tc>
        <w:tc>
          <w:tcPr>
            <w:tcW w:type="dxa" w:w="1728"/>
            <w:shd w:fill="FEF0E4"/>
          </w:tcPr>
          <w:p>
            <w:r>
              <w:rPr>
                <w:rFonts w:ascii="Marianne" w:hAnsi="Marianne"/>
                <w:color w:val="1D1D1B"/>
                <w:sz w:val="20"/>
              </w:rPr>
              <w:t>Avril</w:t>
            </w:r>
          </w:p>
        </w:tc>
      </w:tr>
      <w:tr>
        <w:tc>
          <w:tcPr>
            <w:tcW w:type="dxa" w:w="1728"/>
          </w:tcPr>
          <w:p>
            <w:r>
              <w:rPr>
                <w:rFonts w:ascii="Marianne" w:hAnsi="Marianne"/>
                <w:color w:val="1D1D1B"/>
                <w:sz w:val="20"/>
              </w:rPr>
              <w:t>HE Quoy</w:t>
            </w:r>
          </w:p>
        </w:tc>
        <w:tc>
          <w:tcPr>
            <w:tcW w:type="dxa" w:w="1728"/>
          </w:tcPr>
          <w:p>
            <w:r>
              <w:rPr>
                <w:rFonts w:ascii="Marianne" w:hAnsi="Marianne"/>
                <w:color w:val="1D1D1B"/>
                <w:sz w:val="20"/>
              </w:rPr>
              <w:t>Hopital Europeen</w:t>
            </w:r>
          </w:p>
        </w:tc>
        <w:tc>
          <w:tcPr>
            <w:tcW w:type="dxa" w:w="1728"/>
          </w:tcPr>
          <w:p>
            <w:r>
              <w:rPr>
                <w:rFonts w:ascii="Marianne" w:hAnsi="Marianne"/>
                <w:color w:val="1D1D1B"/>
                <w:sz w:val="20"/>
              </w:rPr>
              <w:t>300</w:t>
            </w:r>
          </w:p>
        </w:tc>
        <w:tc>
          <w:tcPr>
            <w:tcW w:type="dxa" w:w="1728"/>
          </w:tcPr>
          <w:p>
            <w:r>
              <w:rPr>
                <w:rFonts w:ascii="Marianne" w:hAnsi="Marianne"/>
                <w:color w:val="1D1D1B"/>
                <w:sz w:val="20"/>
              </w:rPr>
              <w:t>Trial</w:t>
            </w:r>
          </w:p>
        </w:tc>
        <w:tc>
          <w:tcPr>
            <w:tcW w:type="dxa" w:w="1728"/>
          </w:tcPr>
          <w:p>
            <w:r>
              <w:rPr>
                <w:rFonts w:ascii="Marianne" w:hAnsi="Marianne"/>
                <w:color w:val="1D1D1B"/>
                <w:sz w:val="20"/>
              </w:rPr>
              <w:t>Mars</w:t>
            </w:r>
          </w:p>
        </w:tc>
      </w:tr>
    </w:tbl>
    <w:p/>
    <w:p>
      <w:pPr>
        <w:pStyle w:val="Heading2"/>
      </w:pPr>
      <w:r>
        <w:t>Closings attendus par mois</w:t>
      </w:r>
    </w:p>
    <w:tbl>
      <w:tblPr>
        <w:tblW w:type="auto" w:w="0"/>
        <w:jc w:val="center"/>
        <w:tblLook w:firstColumn="1" w:firstRow="1" w:lastColumn="0" w:lastRow="0" w:noHBand="0" w:noVBand="1" w:val="04A0"/>
        <w:tblBorders>
          <w:top w:val="single" w:sz="4" w:space="0" w:color="FC8D42"/>
          <w:bottom w:val="single" w:sz="4" w:space="0" w:color="FC8D42"/>
          <w:insideH w:val="single" w:sz="2" w:space="0" w:color="E8E8E5"/>
        </w:tblBorders>
      </w:tblPr>
      <w:tblGrid>
        <w:gridCol w:w="2880"/>
        <w:gridCol w:w="2880"/>
        <w:gridCol w:w="2880"/>
      </w:tblGrid>
      <w:tr>
        <w:tc>
          <w:tcPr>
            <w:tcW w:type="dxa" w:w="2880"/>
            <w:shd w:fill="FC8D42"/>
          </w:tcPr>
          <w:p>
            <w:r>
              <w:rPr>
                <w:rFonts w:ascii="Marianne" w:hAnsi="Marianne"/>
                <w:b/>
                <w:color w:val="FFFFFF"/>
                <w:sz w:val="20"/>
              </w:rPr>
              <w:t>Mois</w:t>
            </w:r>
          </w:p>
        </w:tc>
        <w:tc>
          <w:tcPr>
            <w:tcW w:type="dxa" w:w="2880"/>
            <w:shd w:fill="FC8D42"/>
          </w:tcPr>
          <w:p>
            <w:r>
              <w:rPr>
                <w:rFonts w:ascii="Marianne" w:hAnsi="Marianne"/>
                <w:b/>
                <w:color w:val="FFFFFF"/>
                <w:sz w:val="20"/>
              </w:rPr>
              <w:t>Deals</w:t>
            </w:r>
          </w:p>
        </w:tc>
        <w:tc>
          <w:tcPr>
            <w:tcW w:type="dxa" w:w="2880"/>
            <w:shd w:fill="FC8D42"/>
          </w:tcPr>
          <w:p>
            <w:r>
              <w:rPr>
                <w:rFonts w:ascii="Marianne" w:hAnsi="Marianne"/>
                <w:b/>
                <w:color w:val="FFFFFF"/>
                <w:sz w:val="20"/>
              </w:rPr>
              <w:t>Valeur pipe (EUR)</w:t>
            </w:r>
          </w:p>
        </w:tc>
      </w:tr>
      <w:tr>
        <w:tc>
          <w:tcPr>
            <w:tcW w:type="dxa" w:w="2880"/>
            <w:shd w:fill="FEF0E4"/>
          </w:tcPr>
          <w:p>
            <w:r>
              <w:rPr>
                <w:rFonts w:ascii="Marianne" w:hAnsi="Marianne"/>
                <w:color w:val="1D1D1B"/>
                <w:sz w:val="20"/>
              </w:rPr>
              <w:t>Mars 2026</w:t>
            </w:r>
          </w:p>
        </w:tc>
        <w:tc>
          <w:tcPr>
            <w:tcW w:type="dxa" w:w="2880"/>
            <w:shd w:fill="FEF0E4"/>
          </w:tcPr>
          <w:p>
            <w:r>
              <w:rPr>
                <w:rFonts w:ascii="Marianne" w:hAnsi="Marianne"/>
                <w:color w:val="1D1D1B"/>
                <w:sz w:val="20"/>
              </w:rPr>
              <w:t>20</w:t>
            </w:r>
          </w:p>
        </w:tc>
        <w:tc>
          <w:tcPr>
            <w:tcW w:type="dxa" w:w="2880"/>
            <w:shd w:fill="FEF0E4"/>
          </w:tcPr>
          <w:p>
            <w:r>
              <w:rPr>
                <w:rFonts w:ascii="Marianne" w:hAnsi="Marianne"/>
                <w:color w:val="1D1D1B"/>
                <w:sz w:val="20"/>
              </w:rPr>
              <w:t>4 684</w:t>
            </w:r>
          </w:p>
        </w:tc>
      </w:tr>
      <w:tr>
        <w:tc>
          <w:tcPr>
            <w:tcW w:type="dxa" w:w="2880"/>
          </w:tcPr>
          <w:p>
            <w:r>
              <w:rPr>
                <w:rFonts w:ascii="Marianne" w:hAnsi="Marianne"/>
                <w:color w:val="1D1D1B"/>
                <w:sz w:val="20"/>
              </w:rPr>
              <w:t>Avril 2026</w:t>
            </w:r>
          </w:p>
        </w:tc>
        <w:tc>
          <w:tcPr>
            <w:tcW w:type="dxa" w:w="2880"/>
          </w:tcPr>
          <w:p>
            <w:r>
              <w:rPr>
                <w:rFonts w:ascii="Marianne" w:hAnsi="Marianne"/>
                <w:color w:val="1D1D1B"/>
                <w:sz w:val="20"/>
              </w:rPr>
              <w:t>13</w:t>
            </w:r>
          </w:p>
        </w:tc>
        <w:tc>
          <w:tcPr>
            <w:tcW w:type="dxa" w:w="2880"/>
          </w:tcPr>
          <w:p>
            <w:r>
              <w:rPr>
                <w:rFonts w:ascii="Marianne" w:hAnsi="Marianne"/>
                <w:color w:val="1D1D1B"/>
                <w:sz w:val="20"/>
              </w:rPr>
              <w:t>1 394</w:t>
            </w:r>
          </w:p>
        </w:tc>
      </w:tr>
      <w:tr>
        <w:tc>
          <w:tcPr>
            <w:tcW w:type="dxa" w:w="2880"/>
            <w:shd w:fill="FEF0E4"/>
          </w:tcPr>
          <w:p>
            <w:r>
              <w:rPr>
                <w:rFonts w:ascii="Marianne" w:hAnsi="Marianne"/>
                <w:color w:val="1D1D1B"/>
                <w:sz w:val="20"/>
              </w:rPr>
              <w:t>Mai 2026</w:t>
            </w:r>
          </w:p>
        </w:tc>
        <w:tc>
          <w:tcPr>
            <w:tcW w:type="dxa" w:w="2880"/>
            <w:shd w:fill="FEF0E4"/>
          </w:tcPr>
          <w:p>
            <w:r>
              <w:rPr>
                <w:rFonts w:ascii="Marianne" w:hAnsi="Marianne"/>
                <w:color w:val="1D1D1B"/>
                <w:sz w:val="20"/>
              </w:rPr>
              <w:t>8</w:t>
            </w:r>
          </w:p>
        </w:tc>
        <w:tc>
          <w:tcPr>
            <w:tcW w:type="dxa" w:w="2880"/>
            <w:shd w:fill="FEF0E4"/>
          </w:tcPr>
          <w:p>
            <w:r>
              <w:rPr>
                <w:rFonts w:ascii="Marianne" w:hAnsi="Marianne"/>
                <w:color w:val="1D1D1B"/>
                <w:sz w:val="20"/>
              </w:rPr>
              <w:t>992</w:t>
            </w:r>
          </w:p>
        </w:tc>
      </w:tr>
    </w:tbl>
    <w:p/>
    <w:p>
      <w:pPr>
        <w:pStyle w:val="Heading2"/>
      </w:pPr>
      <w:r>
        <w:t>Engagement des contacts</w:t>
      </w:r>
    </w:p>
    <w:tbl>
      <w:tblPr>
        <w:tblW w:type="auto" w:w="0"/>
        <w:jc w:val="center"/>
        <w:tblLook w:firstColumn="1" w:firstRow="1" w:lastColumn="0" w:lastRow="0" w:noHBand="0" w:noVBand="1" w:val="04A0"/>
        <w:tblBorders>
          <w:top w:val="single" w:sz="4" w:space="0" w:color="FC8D42"/>
          <w:bottom w:val="single" w:sz="4" w:space="0" w:color="FC8D42"/>
          <w:insideH w:val="single" w:sz="2" w:space="0" w:color="E8E8E5"/>
        </w:tblBorders>
      </w:tblPr>
      <w:tblGrid>
        <w:gridCol w:w="2880"/>
        <w:gridCol w:w="2880"/>
        <w:gridCol w:w="2880"/>
      </w:tblGrid>
      <w:tr>
        <w:tc>
          <w:tcPr>
            <w:tcW w:type="dxa" w:w="2880"/>
            <w:shd w:fill="FC8D42"/>
          </w:tcPr>
          <w:p>
            <w:r>
              <w:rPr>
                <w:rFonts w:ascii="Marianne" w:hAnsi="Marianne"/>
                <w:b/>
                <w:color w:val="FFFFFF"/>
                <w:sz w:val="20"/>
              </w:rPr>
              <w:t>Status</w:t>
            </w:r>
          </w:p>
        </w:tc>
        <w:tc>
          <w:tcPr>
            <w:tcW w:type="dxa" w:w="2880"/>
            <w:shd w:fill="FC8D42"/>
          </w:tcPr>
          <w:p>
            <w:r>
              <w:rPr>
                <w:rFonts w:ascii="Marianne" w:hAnsi="Marianne"/>
                <w:b/>
                <w:color w:val="FFFFFF"/>
                <w:sz w:val="20"/>
              </w:rPr>
              <w:t>Nombre</w:t>
            </w:r>
          </w:p>
        </w:tc>
        <w:tc>
          <w:tcPr>
            <w:tcW w:type="dxa" w:w="2880"/>
            <w:shd w:fill="FC8D42"/>
          </w:tcPr>
          <w:p>
            <w:r>
              <w:rPr>
                <w:rFonts w:ascii="Marianne" w:hAnsi="Marianne"/>
                <w:b/>
                <w:color w:val="FFFFFF"/>
                <w:sz w:val="20"/>
              </w:rPr>
              <w:t>% total</w:t>
            </w:r>
          </w:p>
        </w:tc>
      </w:tr>
      <w:tr>
        <w:tc>
          <w:tcPr>
            <w:tcW w:type="dxa" w:w="2880"/>
            <w:shd w:fill="FEF0E4"/>
          </w:tcPr>
          <w:p>
            <w:r>
              <w:rPr>
                <w:rFonts w:ascii="Marianne" w:hAnsi="Marianne"/>
                <w:color w:val="1D1D1B"/>
                <w:sz w:val="20"/>
              </w:rPr>
              <w:t>Cold</w:t>
            </w:r>
          </w:p>
        </w:tc>
        <w:tc>
          <w:tcPr>
            <w:tcW w:type="dxa" w:w="2880"/>
            <w:shd w:fill="FEF0E4"/>
          </w:tcPr>
          <w:p>
            <w:r>
              <w:rPr>
                <w:rFonts w:ascii="Marianne" w:hAnsi="Marianne"/>
                <w:color w:val="1D1D1B"/>
                <w:sz w:val="20"/>
              </w:rPr>
              <w:t>160</w:t>
            </w:r>
          </w:p>
        </w:tc>
        <w:tc>
          <w:tcPr>
            <w:tcW w:type="dxa" w:w="2880"/>
            <w:shd w:fill="FEF0E4"/>
          </w:tcPr>
          <w:p>
            <w:r>
              <w:rPr>
                <w:rFonts w:ascii="Marianne" w:hAnsi="Marianne"/>
                <w:color w:val="1D1D1B"/>
                <w:sz w:val="20"/>
              </w:rPr>
              <w:t>68,4%</w:t>
            </w:r>
          </w:p>
        </w:tc>
      </w:tr>
      <w:tr>
        <w:tc>
          <w:tcPr>
            <w:tcW w:type="dxa" w:w="2880"/>
          </w:tcPr>
          <w:p>
            <w:r>
              <w:rPr>
                <w:rFonts w:ascii="Marianne" w:hAnsi="Marianne"/>
                <w:color w:val="1D1D1B"/>
                <w:sz w:val="20"/>
              </w:rPr>
              <w:t>Warm</w:t>
            </w:r>
          </w:p>
        </w:tc>
        <w:tc>
          <w:tcPr>
            <w:tcW w:type="dxa" w:w="2880"/>
          </w:tcPr>
          <w:p>
            <w:r>
              <w:rPr>
                <w:rFonts w:ascii="Marianne" w:hAnsi="Marianne"/>
                <w:color w:val="1D1D1B"/>
                <w:sz w:val="20"/>
              </w:rPr>
              <w:t>50</w:t>
            </w:r>
          </w:p>
        </w:tc>
        <w:tc>
          <w:tcPr>
            <w:tcW w:type="dxa" w:w="2880"/>
          </w:tcPr>
          <w:p>
            <w:r>
              <w:rPr>
                <w:rFonts w:ascii="Marianne" w:hAnsi="Marianne"/>
                <w:color w:val="1D1D1B"/>
                <w:sz w:val="20"/>
              </w:rPr>
              <w:t>21,4%</w:t>
            </w:r>
          </w:p>
        </w:tc>
      </w:tr>
      <w:tr>
        <w:tc>
          <w:tcPr>
            <w:tcW w:type="dxa" w:w="2880"/>
            <w:shd w:fill="FEF0E4"/>
          </w:tcPr>
          <w:p>
            <w:r>
              <w:rPr>
                <w:rFonts w:ascii="Marianne" w:hAnsi="Marianne"/>
                <w:color w:val="1D1D1B"/>
                <w:sz w:val="20"/>
              </w:rPr>
              <w:t>(Non qualifie)</w:t>
            </w:r>
          </w:p>
        </w:tc>
        <w:tc>
          <w:tcPr>
            <w:tcW w:type="dxa" w:w="2880"/>
            <w:shd w:fill="FEF0E4"/>
          </w:tcPr>
          <w:p>
            <w:r>
              <w:rPr>
                <w:rFonts w:ascii="Marianne" w:hAnsi="Marianne"/>
                <w:color w:val="1D1D1B"/>
                <w:sz w:val="20"/>
              </w:rPr>
              <w:t>20</w:t>
            </w:r>
          </w:p>
        </w:tc>
        <w:tc>
          <w:tcPr>
            <w:tcW w:type="dxa" w:w="2880"/>
            <w:shd w:fill="FEF0E4"/>
          </w:tcPr>
          <w:p>
            <w:r>
              <w:rPr>
                <w:rFonts w:ascii="Marianne" w:hAnsi="Marianne"/>
                <w:color w:val="1D1D1B"/>
                <w:sz w:val="20"/>
              </w:rPr>
              <w:t>8,5%</w:t>
            </w:r>
          </w:p>
        </w:tc>
      </w:tr>
      <w:tr>
        <w:tc>
          <w:tcPr>
            <w:tcW w:type="dxa" w:w="2880"/>
          </w:tcPr>
          <w:p>
            <w:r>
              <w:rPr>
                <w:rFonts w:ascii="Marianne" w:hAnsi="Marianne"/>
                <w:color w:val="1D1D1B"/>
                <w:sz w:val="20"/>
              </w:rPr>
              <w:t>Hot</w:t>
            </w:r>
          </w:p>
        </w:tc>
        <w:tc>
          <w:tcPr>
            <w:tcW w:type="dxa" w:w="2880"/>
          </w:tcPr>
          <w:p>
            <w:r>
              <w:rPr>
                <w:rFonts w:ascii="Marianne" w:hAnsi="Marianne"/>
                <w:color w:val="1D1D1B"/>
                <w:sz w:val="20"/>
              </w:rPr>
              <w:t>2</w:t>
            </w:r>
          </w:p>
        </w:tc>
        <w:tc>
          <w:tcPr>
            <w:tcW w:type="dxa" w:w="2880"/>
          </w:tcPr>
          <w:p>
            <w:r>
              <w:rPr>
                <w:rFonts w:ascii="Marianne" w:hAnsi="Marianne"/>
                <w:color w:val="1D1D1B"/>
                <w:sz w:val="20"/>
              </w:rPr>
              <w:t>0,9%</w:t>
            </w:r>
          </w:p>
        </w:tc>
      </w:tr>
      <w:tr>
        <w:tc>
          <w:tcPr>
            <w:tcW w:type="dxa" w:w="2880"/>
            <w:shd w:fill="FEF0E4"/>
          </w:tcPr>
          <w:p>
            <w:r>
              <w:rPr>
                <w:rFonts w:ascii="Marianne" w:hAnsi="Marianne"/>
                <w:color w:val="1D1D1B"/>
                <w:sz w:val="20"/>
              </w:rPr>
              <w:t>In-contract</w:t>
            </w:r>
          </w:p>
        </w:tc>
        <w:tc>
          <w:tcPr>
            <w:tcW w:type="dxa" w:w="2880"/>
            <w:shd w:fill="FEF0E4"/>
          </w:tcPr>
          <w:p>
            <w:r>
              <w:rPr>
                <w:rFonts w:ascii="Marianne" w:hAnsi="Marianne"/>
                <w:color w:val="1D1D1B"/>
                <w:sz w:val="20"/>
              </w:rPr>
              <w:t>2</w:t>
            </w:r>
          </w:p>
        </w:tc>
        <w:tc>
          <w:tcPr>
            <w:tcW w:type="dxa" w:w="2880"/>
            <w:shd w:fill="FEF0E4"/>
          </w:tcPr>
          <w:p>
            <w:r>
              <w:rPr>
                <w:rFonts w:ascii="Marianne" w:hAnsi="Marianne"/>
                <w:color w:val="1D1D1B"/>
                <w:sz w:val="20"/>
              </w:rPr>
              <w:t>0,9%</w:t>
            </w:r>
          </w:p>
        </w:tc>
      </w:tr>
    </w:tbl>
    <w:p/>
    <w:p>
      <w:r>
        <w:br w:type="page"/>
      </w:r>
    </w:p>
    <w:p>
      <w:pPr>
        <w:pStyle w:val="Heading1"/>
      </w:pPr>
      <w:r>
        <w:t>4. Le virage strategique — Shift Upmarket</w:t>
      </w:r>
    </w:p>
    <w:p>
      <w:r>
        <w:t>L'analyse croisee des deals gagnes et du pipeline actif revele un changement majeur de positionnement commercial.</w:t>
      </w:r>
    </w:p>
    <w:tbl>
      <w:tblPr>
        <w:tblW w:type="auto" w:w="0"/>
        <w:jc w:val="center"/>
        <w:tblLook w:firstColumn="1" w:firstRow="1" w:lastColumn="0" w:lastRow="0" w:noHBand="0" w:noVBand="1" w:val="04A0"/>
        <w:tblBorders>
          <w:top w:val="single" w:sz="4" w:space="0" w:color="FC8D42"/>
          <w:bottom w:val="single" w:sz="4" w:space="0" w:color="FC8D42"/>
          <w:insideH w:val="single" w:sz="2" w:space="0" w:color="E8E8E5"/>
        </w:tblBorders>
      </w:tblPr>
      <w:tblGrid>
        <w:gridCol w:w="2880"/>
        <w:gridCol w:w="2880"/>
        <w:gridCol w:w="2880"/>
      </w:tblGrid>
      <w:tr>
        <w:tc>
          <w:tcPr>
            <w:tcW w:type="dxa" w:w="2880"/>
            <w:shd w:fill="FC8D42"/>
          </w:tcPr>
          <w:p>
            <w:r>
              <w:rPr>
                <w:rFonts w:ascii="Marianne" w:hAnsi="Marianne"/>
                <w:b/>
                <w:color w:val="FFFFFF"/>
                <w:sz w:val="20"/>
              </w:rPr>
            </w:r>
          </w:p>
        </w:tc>
        <w:tc>
          <w:tcPr>
            <w:tcW w:type="dxa" w:w="2880"/>
            <w:shd w:fill="FC8D42"/>
          </w:tcPr>
          <w:p>
            <w:r>
              <w:rPr>
                <w:rFonts w:ascii="Marianne" w:hAnsi="Marianne"/>
                <w:b/>
                <w:color w:val="FFFFFF"/>
                <w:sz w:val="20"/>
              </w:rPr>
              <w:t>Deals gagnes (passe)</w:t>
            </w:r>
          </w:p>
        </w:tc>
        <w:tc>
          <w:tcPr>
            <w:tcW w:type="dxa" w:w="2880"/>
            <w:shd w:fill="FC8D42"/>
          </w:tcPr>
          <w:p>
            <w:r>
              <w:rPr>
                <w:rFonts w:ascii="Marianne" w:hAnsi="Marianne"/>
                <w:b/>
                <w:color w:val="FFFFFF"/>
                <w:sz w:val="20"/>
              </w:rPr>
              <w:t>Pipeline actif (futur)</w:t>
            </w:r>
          </w:p>
        </w:tc>
      </w:tr>
      <w:tr>
        <w:tc>
          <w:tcPr>
            <w:tcW w:type="dxa" w:w="2880"/>
            <w:shd w:fill="FEF0E4"/>
          </w:tcPr>
          <w:p>
            <w:r>
              <w:rPr>
                <w:rFonts w:ascii="Marianne" w:hAnsi="Marianne"/>
                <w:color w:val="1D1D1B"/>
                <w:sz w:val="20"/>
              </w:rPr>
              <w:t>Deal moyen</w:t>
            </w:r>
          </w:p>
        </w:tc>
        <w:tc>
          <w:tcPr>
            <w:tcW w:type="dxa" w:w="2880"/>
            <w:shd w:fill="FEF0E4"/>
          </w:tcPr>
          <w:p>
            <w:r>
              <w:rPr>
                <w:rFonts w:ascii="Marianne" w:hAnsi="Marianne"/>
                <w:color w:val="1D1D1B"/>
                <w:sz w:val="20"/>
              </w:rPr>
              <w:t>25 EUR/mois</w:t>
            </w:r>
          </w:p>
        </w:tc>
        <w:tc>
          <w:tcPr>
            <w:tcW w:type="dxa" w:w="2880"/>
            <w:shd w:fill="FEF0E4"/>
          </w:tcPr>
          <w:p>
            <w:r>
              <w:rPr>
                <w:rFonts w:ascii="Marianne" w:hAnsi="Marianne"/>
                <w:color w:val="1D1D1B"/>
                <w:sz w:val="20"/>
              </w:rPr>
              <w:t>191 EUR/mois</w:t>
            </w:r>
          </w:p>
        </w:tc>
      </w:tr>
      <w:tr>
        <w:tc>
          <w:tcPr>
            <w:tcW w:type="dxa" w:w="2880"/>
          </w:tcPr>
          <w:p>
            <w:r>
              <w:rPr>
                <w:rFonts w:ascii="Marianne" w:hAnsi="Marianne"/>
                <w:color w:val="1D1D1B"/>
                <w:sz w:val="20"/>
              </w:rPr>
              <w:t>Deal max</w:t>
            </w:r>
          </w:p>
        </w:tc>
        <w:tc>
          <w:tcPr>
            <w:tcW w:type="dxa" w:w="2880"/>
          </w:tcPr>
          <w:p>
            <w:r>
              <w:rPr>
                <w:rFonts w:ascii="Marianne" w:hAnsi="Marianne"/>
                <w:color w:val="1D1D1B"/>
                <w:sz w:val="20"/>
              </w:rPr>
              <w:t>72 EUR/mois</w:t>
            </w:r>
          </w:p>
        </w:tc>
        <w:tc>
          <w:tcPr>
            <w:tcW w:type="dxa" w:w="2880"/>
          </w:tcPr>
          <w:p>
            <w:r>
              <w:rPr>
                <w:rFonts w:ascii="Marianne" w:hAnsi="Marianne"/>
                <w:color w:val="1D1D1B"/>
                <w:sz w:val="20"/>
              </w:rPr>
              <w:t>2 500 EUR/mois</w:t>
            </w:r>
          </w:p>
        </w:tc>
      </w:tr>
      <w:tr>
        <w:tc>
          <w:tcPr>
            <w:tcW w:type="dxa" w:w="2880"/>
            <w:shd w:fill="FEF0E4"/>
          </w:tcPr>
          <w:p>
            <w:r>
              <w:rPr>
                <w:rFonts w:ascii="Marianne" w:hAnsi="Marianne"/>
                <w:color w:val="1D1D1B"/>
                <w:sz w:val="20"/>
              </w:rPr>
              <w:t>Cible type</w:t>
            </w:r>
          </w:p>
        </w:tc>
        <w:tc>
          <w:tcPr>
            <w:tcW w:type="dxa" w:w="2880"/>
            <w:shd w:fill="FEF0E4"/>
          </w:tcPr>
          <w:p>
            <w:r>
              <w:rPr>
                <w:rFonts w:ascii="Marianne" w:hAnsi="Marianne"/>
                <w:color w:val="1D1D1B"/>
                <w:sz w:val="20"/>
              </w:rPr>
              <w:t>Cabinets individuels</w:t>
            </w:r>
          </w:p>
        </w:tc>
        <w:tc>
          <w:tcPr>
            <w:tcW w:type="dxa" w:w="2880"/>
            <w:shd w:fill="FEF0E4"/>
          </w:tcPr>
          <w:p>
            <w:r>
              <w:rPr>
                <w:rFonts w:ascii="Marianne" w:hAnsi="Marianne"/>
                <w:color w:val="1D1D1B"/>
                <w:sz w:val="20"/>
              </w:rPr>
              <w:t>Hopitaux, groupements</w:t>
            </w:r>
          </w:p>
        </w:tc>
      </w:tr>
      <w:tr>
        <w:tc>
          <w:tcPr>
            <w:tcW w:type="dxa" w:w="2880"/>
          </w:tcPr>
          <w:p>
            <w:r>
              <w:rPr>
                <w:rFonts w:ascii="Marianne" w:hAnsi="Marianne"/>
                <w:color w:val="1D1D1B"/>
                <w:sz w:val="20"/>
              </w:rPr>
              <w:t>Praticiens/structure</w:t>
            </w:r>
          </w:p>
        </w:tc>
        <w:tc>
          <w:tcPr>
            <w:tcW w:type="dxa" w:w="2880"/>
          </w:tcPr>
          <w:p>
            <w:r>
              <w:rPr>
                <w:rFonts w:ascii="Marianne" w:hAnsi="Marianne"/>
                <w:color w:val="1D1D1B"/>
                <w:sz w:val="20"/>
              </w:rPr>
              <w:t>1-2</w:t>
            </w:r>
          </w:p>
        </w:tc>
        <w:tc>
          <w:tcPr>
            <w:tcW w:type="dxa" w:w="2880"/>
          </w:tcPr>
          <w:p>
            <w:r>
              <w:rPr>
                <w:rFonts w:ascii="Marianne" w:hAnsi="Marianne"/>
                <w:color w:val="1D1D1B"/>
                <w:sz w:val="20"/>
              </w:rPr>
              <w:t>4-15+</w:t>
            </w:r>
          </w:p>
        </w:tc>
      </w:tr>
    </w:tbl>
    <w:p/>
    <w:p>
      <w:r>
        <w:rPr>
          <w:rFonts w:ascii="Century Gothic" w:hAnsi="Century Gothic"/>
          <w:b/>
          <w:color w:val="FC8D42"/>
          <w:sz w:val="22"/>
        </w:rPr>
        <w:t xml:space="preserve">L'ARPU du pipeline est 7,7x superieur a l'ARPU des deals gagnes : </w:t>
      </w:r>
      <w:r>
        <w:rPr>
          <w:rFonts w:ascii="Marianne" w:hAnsi="Marianne"/>
          <w:sz w:val="22"/>
        </w:rPr>
        <w:t>Ce shift upmarket signifie que Nosho a prouve sa valeur sur les petits cabinets et attaque maintenant les comptes institutionnels, qui sont plus sticky, a plus forte LTV, et a plus fort potentiel d'expansion. C'est la trajectoire classique des SaaS B2B vertical sante qui scalent (cf. Doctolib).</w:t>
      </w:r>
    </w:p>
    <w:p>
      <w:r>
        <w:br w:type="page"/>
      </w:r>
    </w:p>
    <w:p>
      <w:pPr>
        <w:pStyle w:val="Heading1"/>
      </w:pPr>
      <w:r>
        <w:t>5. Projections MRR — Scenarios Q2 2026</w:t>
      </w:r>
    </w:p>
    <w:p>
      <w:pPr>
        <w:pStyle w:val="Heading2"/>
      </w:pPr>
      <w:r>
        <w:t>Scenario conservateur (win rate 30%)</w:t>
      </w:r>
    </w:p>
    <w:tbl>
      <w:tblPr>
        <w:tblW w:type="auto" w:w="0"/>
        <w:jc w:val="center"/>
        <w:tblLook w:firstColumn="1" w:firstRow="1" w:lastColumn="0" w:lastRow="0" w:noHBand="0" w:noVBand="1" w:val="04A0"/>
        <w:tblBorders>
          <w:top w:val="single" w:sz="4" w:space="0" w:color="FC8D42"/>
          <w:bottom w:val="single" w:sz="4" w:space="0" w:color="FC8D42"/>
          <w:insideH w:val="single" w:sz="2" w:space="0" w:color="E8E8E5"/>
        </w:tblBorders>
      </w:tblPr>
      <w:tblGrid>
        <w:gridCol w:w="4320"/>
        <w:gridCol w:w="4320"/>
      </w:tblGrid>
      <w:tr>
        <w:tc>
          <w:tcPr>
            <w:tcW w:type="dxa" w:w="4320"/>
            <w:shd w:fill="FC8D42"/>
          </w:tcPr>
          <w:p>
            <w:r>
              <w:rPr>
                <w:rFonts w:ascii="Marianne" w:hAnsi="Marianne"/>
                <w:b/>
                <w:color w:val="FFFFFF"/>
                <w:sz w:val="20"/>
              </w:rPr>
              <w:t>Composante</w:t>
            </w:r>
          </w:p>
        </w:tc>
        <w:tc>
          <w:tcPr>
            <w:tcW w:type="dxa" w:w="4320"/>
            <w:shd w:fill="FC8D42"/>
          </w:tcPr>
          <w:p>
            <w:r>
              <w:rPr>
                <w:rFonts w:ascii="Marianne" w:hAnsi="Marianne"/>
                <w:b/>
                <w:color w:val="FFFFFF"/>
                <w:sz w:val="20"/>
              </w:rPr>
              <w:t>MRR (EUR)</w:t>
            </w:r>
          </w:p>
        </w:tc>
      </w:tr>
      <w:tr>
        <w:tc>
          <w:tcPr>
            <w:tcW w:type="dxa" w:w="4320"/>
            <w:shd w:fill="FEF0E4"/>
          </w:tcPr>
          <w:p>
            <w:r>
              <w:rPr>
                <w:rFonts w:ascii="Marianne" w:hAnsi="Marianne"/>
                <w:color w:val="1D1D1B"/>
                <w:sz w:val="20"/>
              </w:rPr>
              <w:t>MRR actuel</w:t>
            </w:r>
          </w:p>
        </w:tc>
        <w:tc>
          <w:tcPr>
            <w:tcW w:type="dxa" w:w="4320"/>
            <w:shd w:fill="FEF0E4"/>
          </w:tcPr>
          <w:p>
            <w:r>
              <w:rPr>
                <w:rFonts w:ascii="Marianne" w:hAnsi="Marianne"/>
                <w:color w:val="1D1D1B"/>
                <w:sz w:val="20"/>
              </w:rPr>
              <w:t>2 028</w:t>
            </w:r>
          </w:p>
        </w:tc>
      </w:tr>
      <w:tr>
        <w:tc>
          <w:tcPr>
            <w:tcW w:type="dxa" w:w="4320"/>
          </w:tcPr>
          <w:p>
            <w:r>
              <w:rPr>
                <w:rFonts w:ascii="Marianne" w:hAnsi="Marianne"/>
                <w:color w:val="1D1D1B"/>
                <w:sz w:val="20"/>
              </w:rPr>
              <w:t>New MRR (30% du pipe pondere)</w:t>
            </w:r>
          </w:p>
        </w:tc>
        <w:tc>
          <w:tcPr>
            <w:tcW w:type="dxa" w:w="4320"/>
          </w:tcPr>
          <w:p>
            <w:r>
              <w:rPr>
                <w:rFonts w:ascii="Marianne" w:hAnsi="Marianne"/>
                <w:color w:val="1D1D1B"/>
                <w:sz w:val="20"/>
              </w:rPr>
              <w:t>+1 500</w:t>
            </w:r>
          </w:p>
        </w:tc>
      </w:tr>
      <w:tr>
        <w:tc>
          <w:tcPr>
            <w:tcW w:type="dxa" w:w="4320"/>
            <w:shd w:fill="FEF0E4"/>
          </w:tcPr>
          <w:p>
            <w:r>
              <w:rPr>
                <w:rFonts w:ascii="Marianne" w:hAnsi="Marianne"/>
                <w:color w:val="1D1D1B"/>
                <w:sz w:val="20"/>
              </w:rPr>
              <w:t>MRR fin Q2 2026</w:t>
            </w:r>
          </w:p>
        </w:tc>
        <w:tc>
          <w:tcPr>
            <w:tcW w:type="dxa" w:w="4320"/>
            <w:shd w:fill="FEF0E4"/>
          </w:tcPr>
          <w:p>
            <w:r>
              <w:rPr>
                <w:rFonts w:ascii="Marianne" w:hAnsi="Marianne"/>
                <w:color w:val="1D1D1B"/>
                <w:sz w:val="20"/>
              </w:rPr>
              <w:t>3 500 - 4 000</w:t>
            </w:r>
          </w:p>
        </w:tc>
      </w:tr>
      <w:tr>
        <w:tc>
          <w:tcPr>
            <w:tcW w:type="dxa" w:w="4320"/>
          </w:tcPr>
          <w:p>
            <w:r>
              <w:rPr>
                <w:rFonts w:ascii="Marianne" w:hAnsi="Marianne"/>
                <w:color w:val="1D1D1B"/>
                <w:sz w:val="20"/>
              </w:rPr>
              <w:t>Croissance vs actuel</w:t>
            </w:r>
          </w:p>
        </w:tc>
        <w:tc>
          <w:tcPr>
            <w:tcW w:type="dxa" w:w="4320"/>
          </w:tcPr>
          <w:p>
            <w:r>
              <w:rPr>
                <w:rFonts w:ascii="Marianne" w:hAnsi="Marianne"/>
                <w:color w:val="1D1D1B"/>
                <w:sz w:val="20"/>
              </w:rPr>
              <w:t>+73%</w:t>
            </w:r>
          </w:p>
        </w:tc>
      </w:tr>
    </w:tbl>
    <w:p/>
    <w:p>
      <w:pPr>
        <w:pStyle w:val="Heading2"/>
      </w:pPr>
      <w:r>
        <w:t>Scenario median (win rate 38% + 1 gros compte)</w:t>
      </w:r>
    </w:p>
    <w:tbl>
      <w:tblPr>
        <w:tblW w:type="auto" w:w="0"/>
        <w:jc w:val="center"/>
        <w:tblLook w:firstColumn="1" w:firstRow="1" w:lastColumn="0" w:lastRow="0" w:noHBand="0" w:noVBand="1" w:val="04A0"/>
        <w:tblBorders>
          <w:top w:val="single" w:sz="4" w:space="0" w:color="FC8D42"/>
          <w:bottom w:val="single" w:sz="4" w:space="0" w:color="FC8D42"/>
          <w:insideH w:val="single" w:sz="2" w:space="0" w:color="E8E8E5"/>
        </w:tblBorders>
      </w:tblPr>
      <w:tblGrid>
        <w:gridCol w:w="4320"/>
        <w:gridCol w:w="4320"/>
      </w:tblGrid>
      <w:tr>
        <w:tc>
          <w:tcPr>
            <w:tcW w:type="dxa" w:w="4320"/>
            <w:shd w:fill="FC8D42"/>
          </w:tcPr>
          <w:p>
            <w:r>
              <w:rPr>
                <w:rFonts w:ascii="Marianne" w:hAnsi="Marianne"/>
                <w:b/>
                <w:color w:val="FFFFFF"/>
                <w:sz w:val="20"/>
              </w:rPr>
              <w:t>Composante</w:t>
            </w:r>
          </w:p>
        </w:tc>
        <w:tc>
          <w:tcPr>
            <w:tcW w:type="dxa" w:w="4320"/>
            <w:shd w:fill="FC8D42"/>
          </w:tcPr>
          <w:p>
            <w:r>
              <w:rPr>
                <w:rFonts w:ascii="Marianne" w:hAnsi="Marianne"/>
                <w:b/>
                <w:color w:val="FFFFFF"/>
                <w:sz w:val="20"/>
              </w:rPr>
              <w:t>MRR (EUR)</w:t>
            </w:r>
          </w:p>
        </w:tc>
      </w:tr>
      <w:tr>
        <w:tc>
          <w:tcPr>
            <w:tcW w:type="dxa" w:w="4320"/>
            <w:shd w:fill="FEF0E4"/>
          </w:tcPr>
          <w:p>
            <w:r>
              <w:rPr>
                <w:rFonts w:ascii="Marianne" w:hAnsi="Marianne"/>
                <w:color w:val="1D1D1B"/>
                <w:sz w:val="20"/>
              </w:rPr>
              <w:t>MRR actuel</w:t>
            </w:r>
          </w:p>
        </w:tc>
        <w:tc>
          <w:tcPr>
            <w:tcW w:type="dxa" w:w="4320"/>
            <w:shd w:fill="FEF0E4"/>
          </w:tcPr>
          <w:p>
            <w:r>
              <w:rPr>
                <w:rFonts w:ascii="Marianne" w:hAnsi="Marianne"/>
                <w:color w:val="1D1D1B"/>
                <w:sz w:val="20"/>
              </w:rPr>
              <w:t>2 028</w:t>
            </w:r>
          </w:p>
        </w:tc>
      </w:tr>
      <w:tr>
        <w:tc>
          <w:tcPr>
            <w:tcW w:type="dxa" w:w="4320"/>
          </w:tcPr>
          <w:p>
            <w:r>
              <w:rPr>
                <w:rFonts w:ascii="Marianne" w:hAnsi="Marianne"/>
                <w:color w:val="1D1D1B"/>
                <w:sz w:val="20"/>
              </w:rPr>
              <w:t>Conversions normales (38%)</w:t>
            </w:r>
          </w:p>
        </w:tc>
        <w:tc>
          <w:tcPr>
            <w:tcW w:type="dxa" w:w="4320"/>
          </w:tcPr>
          <w:p>
            <w:r>
              <w:rPr>
                <w:rFonts w:ascii="Marianne" w:hAnsi="Marianne"/>
                <w:color w:val="1D1D1B"/>
                <w:sz w:val="20"/>
              </w:rPr>
              <w:t>+1 900</w:t>
            </w:r>
          </w:p>
        </w:tc>
      </w:tr>
      <w:tr>
        <w:tc>
          <w:tcPr>
            <w:tcW w:type="dxa" w:w="4320"/>
            <w:shd w:fill="FEF0E4"/>
          </w:tcPr>
          <w:p>
            <w:r>
              <w:rPr>
                <w:rFonts w:ascii="Marianne" w:hAnsi="Marianne"/>
                <w:color w:val="1D1D1B"/>
                <w:sz w:val="20"/>
              </w:rPr>
              <w:t>1 trial hopital converti</w:t>
            </w:r>
          </w:p>
        </w:tc>
        <w:tc>
          <w:tcPr>
            <w:tcW w:type="dxa" w:w="4320"/>
            <w:shd w:fill="FEF0E4"/>
          </w:tcPr>
          <w:p>
            <w:r>
              <w:rPr>
                <w:rFonts w:ascii="Marianne" w:hAnsi="Marianne"/>
                <w:color w:val="1D1D1B"/>
                <w:sz w:val="20"/>
              </w:rPr>
              <w:t>+450</w:t>
            </w:r>
          </w:p>
        </w:tc>
      </w:tr>
      <w:tr>
        <w:tc>
          <w:tcPr>
            <w:tcW w:type="dxa" w:w="4320"/>
          </w:tcPr>
          <w:p>
            <w:r>
              <w:rPr>
                <w:rFonts w:ascii="Marianne" w:hAnsi="Marianne"/>
                <w:color w:val="1D1D1B"/>
                <w:sz w:val="20"/>
              </w:rPr>
              <w:t>MRR fin Q2 2026</w:t>
            </w:r>
          </w:p>
        </w:tc>
        <w:tc>
          <w:tcPr>
            <w:tcW w:type="dxa" w:w="4320"/>
          </w:tcPr>
          <w:p>
            <w:r>
              <w:rPr>
                <w:rFonts w:ascii="Marianne" w:hAnsi="Marianne"/>
                <w:color w:val="1D1D1B"/>
                <w:sz w:val="20"/>
              </w:rPr>
              <w:t>4 500 - 5 500</w:t>
            </w:r>
          </w:p>
        </w:tc>
      </w:tr>
      <w:tr>
        <w:tc>
          <w:tcPr>
            <w:tcW w:type="dxa" w:w="4320"/>
            <w:shd w:fill="FEF0E4"/>
          </w:tcPr>
          <w:p>
            <w:r>
              <w:rPr>
                <w:rFonts w:ascii="Marianne" w:hAnsi="Marianne"/>
                <w:color w:val="1D1D1B"/>
                <w:sz w:val="20"/>
              </w:rPr>
              <w:t>Croissance vs actuel</w:t>
            </w:r>
          </w:p>
        </w:tc>
        <w:tc>
          <w:tcPr>
            <w:tcW w:type="dxa" w:w="4320"/>
            <w:shd w:fill="FEF0E4"/>
          </w:tcPr>
          <w:p>
            <w:r>
              <w:rPr>
                <w:rFonts w:ascii="Marianne" w:hAnsi="Marianne"/>
                <w:color w:val="1D1D1B"/>
                <w:sz w:val="20"/>
              </w:rPr>
              <w:t>+122%</w:t>
            </w:r>
          </w:p>
        </w:tc>
      </w:tr>
    </w:tbl>
    <w:p/>
    <w:p>
      <w:pPr>
        <w:pStyle w:val="Heading2"/>
      </w:pPr>
      <w:r>
        <w:t>Scenario optimiste (Oxance ou DocCity)</w:t>
      </w:r>
    </w:p>
    <w:tbl>
      <w:tblPr>
        <w:tblW w:type="auto" w:w="0"/>
        <w:jc w:val="center"/>
        <w:tblLook w:firstColumn="1" w:firstRow="1" w:lastColumn="0" w:lastRow="0" w:noHBand="0" w:noVBand="1" w:val="04A0"/>
        <w:tblBorders>
          <w:top w:val="single" w:sz="4" w:space="0" w:color="FC8D42"/>
          <w:bottom w:val="single" w:sz="4" w:space="0" w:color="FC8D42"/>
          <w:insideH w:val="single" w:sz="2" w:space="0" w:color="E8E8E5"/>
        </w:tblBorders>
      </w:tblPr>
      <w:tblGrid>
        <w:gridCol w:w="4320"/>
        <w:gridCol w:w="4320"/>
      </w:tblGrid>
      <w:tr>
        <w:tc>
          <w:tcPr>
            <w:tcW w:type="dxa" w:w="4320"/>
            <w:shd w:fill="FC8D42"/>
          </w:tcPr>
          <w:p>
            <w:r>
              <w:rPr>
                <w:rFonts w:ascii="Marianne" w:hAnsi="Marianne"/>
                <w:b/>
                <w:color w:val="FFFFFF"/>
                <w:sz w:val="20"/>
              </w:rPr>
              <w:t>Composante</w:t>
            </w:r>
          </w:p>
        </w:tc>
        <w:tc>
          <w:tcPr>
            <w:tcW w:type="dxa" w:w="4320"/>
            <w:shd w:fill="FC8D42"/>
          </w:tcPr>
          <w:p>
            <w:r>
              <w:rPr>
                <w:rFonts w:ascii="Marianne" w:hAnsi="Marianne"/>
                <w:b/>
                <w:color w:val="FFFFFF"/>
                <w:sz w:val="20"/>
              </w:rPr>
              <w:t>MRR (EUR)</w:t>
            </w:r>
          </w:p>
        </w:tc>
      </w:tr>
      <w:tr>
        <w:tc>
          <w:tcPr>
            <w:tcW w:type="dxa" w:w="4320"/>
            <w:shd w:fill="FEF0E4"/>
          </w:tcPr>
          <w:p>
            <w:r>
              <w:rPr>
                <w:rFonts w:ascii="Marianne" w:hAnsi="Marianne"/>
                <w:color w:val="1D1D1B"/>
                <w:sz w:val="20"/>
              </w:rPr>
              <w:t>MRR actuel</w:t>
            </w:r>
          </w:p>
        </w:tc>
        <w:tc>
          <w:tcPr>
            <w:tcW w:type="dxa" w:w="4320"/>
            <w:shd w:fill="FEF0E4"/>
          </w:tcPr>
          <w:p>
            <w:r>
              <w:rPr>
                <w:rFonts w:ascii="Marianne" w:hAnsi="Marianne"/>
                <w:color w:val="1D1D1B"/>
                <w:sz w:val="20"/>
              </w:rPr>
              <w:t>2 028</w:t>
            </w:r>
          </w:p>
        </w:tc>
      </w:tr>
      <w:tr>
        <w:tc>
          <w:tcPr>
            <w:tcW w:type="dxa" w:w="4320"/>
          </w:tcPr>
          <w:p>
            <w:r>
              <w:rPr>
                <w:rFonts w:ascii="Marianne" w:hAnsi="Marianne"/>
                <w:color w:val="1D1D1B"/>
                <w:sz w:val="20"/>
              </w:rPr>
              <w:t>1 gros groupement</w:t>
            </w:r>
          </w:p>
        </w:tc>
        <w:tc>
          <w:tcPr>
            <w:tcW w:type="dxa" w:w="4320"/>
          </w:tcPr>
          <w:p>
            <w:r>
              <w:rPr>
                <w:rFonts w:ascii="Marianne" w:hAnsi="Marianne"/>
                <w:color w:val="1D1D1B"/>
                <w:sz w:val="20"/>
              </w:rPr>
              <w:t>+1 764 a 2 500</w:t>
            </w:r>
          </w:p>
        </w:tc>
      </w:tr>
      <w:tr>
        <w:tc>
          <w:tcPr>
            <w:tcW w:type="dxa" w:w="4320"/>
            <w:shd w:fill="FEF0E4"/>
          </w:tcPr>
          <w:p>
            <w:r>
              <w:rPr>
                <w:rFonts w:ascii="Marianne" w:hAnsi="Marianne"/>
                <w:color w:val="1D1D1B"/>
                <w:sz w:val="20"/>
              </w:rPr>
              <w:t>Conversions normales</w:t>
            </w:r>
          </w:p>
        </w:tc>
        <w:tc>
          <w:tcPr>
            <w:tcW w:type="dxa" w:w="4320"/>
            <w:shd w:fill="FEF0E4"/>
          </w:tcPr>
          <w:p>
            <w:r>
              <w:rPr>
                <w:rFonts w:ascii="Marianne" w:hAnsi="Marianne"/>
                <w:color w:val="1D1D1B"/>
                <w:sz w:val="20"/>
              </w:rPr>
              <w:t>+1 500</w:t>
            </w:r>
          </w:p>
        </w:tc>
      </w:tr>
      <w:tr>
        <w:tc>
          <w:tcPr>
            <w:tcW w:type="dxa" w:w="4320"/>
          </w:tcPr>
          <w:p>
            <w:r>
              <w:rPr>
                <w:rFonts w:ascii="Marianne" w:hAnsi="Marianne"/>
                <w:color w:val="1D1D1B"/>
                <w:sz w:val="20"/>
              </w:rPr>
              <w:t>MRR fin Q2 2026</w:t>
            </w:r>
          </w:p>
        </w:tc>
        <w:tc>
          <w:tcPr>
            <w:tcW w:type="dxa" w:w="4320"/>
          </w:tcPr>
          <w:p>
            <w:r>
              <w:rPr>
                <w:rFonts w:ascii="Marianne" w:hAnsi="Marianne"/>
                <w:color w:val="1D1D1B"/>
                <w:sz w:val="20"/>
              </w:rPr>
              <w:t>5 500 - 7 000</w:t>
            </w:r>
          </w:p>
        </w:tc>
      </w:tr>
      <w:tr>
        <w:tc>
          <w:tcPr>
            <w:tcW w:type="dxa" w:w="4320"/>
            <w:shd w:fill="FEF0E4"/>
          </w:tcPr>
          <w:p>
            <w:r>
              <w:rPr>
                <w:rFonts w:ascii="Marianne" w:hAnsi="Marianne"/>
                <w:color w:val="1D1D1B"/>
                <w:sz w:val="20"/>
              </w:rPr>
              <w:t>ARR projete</w:t>
            </w:r>
          </w:p>
        </w:tc>
        <w:tc>
          <w:tcPr>
            <w:tcW w:type="dxa" w:w="4320"/>
            <w:shd w:fill="FEF0E4"/>
          </w:tcPr>
          <w:p>
            <w:r>
              <w:rPr>
                <w:rFonts w:ascii="Marianne" w:hAnsi="Marianne"/>
                <w:color w:val="1D1D1B"/>
                <w:sz w:val="20"/>
              </w:rPr>
              <w:t>&gt; 70 000</w:t>
            </w:r>
          </w:p>
        </w:tc>
      </w:tr>
      <w:tr>
        <w:tc>
          <w:tcPr>
            <w:tcW w:type="dxa" w:w="4320"/>
          </w:tcPr>
          <w:p>
            <w:r>
              <w:rPr>
                <w:rFonts w:ascii="Marianne" w:hAnsi="Marianne"/>
                <w:color w:val="1D1D1B"/>
                <w:sz w:val="20"/>
              </w:rPr>
              <w:t>Croissance vs actuel</w:t>
            </w:r>
          </w:p>
        </w:tc>
        <w:tc>
          <w:tcPr>
            <w:tcW w:type="dxa" w:w="4320"/>
          </w:tcPr>
          <w:p>
            <w:r>
              <w:rPr>
                <w:rFonts w:ascii="Marianne" w:hAnsi="Marianne"/>
                <w:color w:val="1D1D1B"/>
                <w:sz w:val="20"/>
              </w:rPr>
              <w:t>+245%</w:t>
            </w:r>
          </w:p>
        </w:tc>
      </w:tr>
    </w:tbl>
    <w:p/>
    <w:p>
      <w:r>
        <w:br w:type="page"/>
      </w:r>
    </w:p>
    <w:p>
      <w:pPr>
        <w:pStyle w:val="Heading1"/>
      </w:pPr>
      <w:r>
        <w:t>6. Benchmarks SaaS B2B — Nosho vs Standards</w:t>
      </w:r>
    </w:p>
    <w:tbl>
      <w:tblPr>
        <w:tblW w:type="auto" w:w="0"/>
        <w:jc w:val="center"/>
        <w:tblLook w:firstColumn="1" w:firstRow="1" w:lastColumn="0" w:lastRow="0" w:noHBand="0" w:noVBand="1" w:val="04A0"/>
        <w:tblBorders>
          <w:top w:val="single" w:sz="4" w:space="0" w:color="FC8D42"/>
          <w:bottom w:val="single" w:sz="4" w:space="0" w:color="FC8D42"/>
          <w:insideH w:val="single" w:sz="2" w:space="0" w:color="E8E8E5"/>
        </w:tblBorders>
      </w:tblPr>
      <w:tblGrid>
        <w:gridCol w:w="2160"/>
        <w:gridCol w:w="2160"/>
        <w:gridCol w:w="2160"/>
        <w:gridCol w:w="2160"/>
      </w:tblGrid>
      <w:tr>
        <w:tc>
          <w:tcPr>
            <w:tcW w:type="dxa" w:w="2160"/>
            <w:shd w:fill="FC8D42"/>
          </w:tcPr>
          <w:p>
            <w:r>
              <w:rPr>
                <w:rFonts w:ascii="Marianne" w:hAnsi="Marianne"/>
                <w:b/>
                <w:color w:val="FFFFFF"/>
                <w:sz w:val="20"/>
              </w:rPr>
              <w:t>Jalon</w:t>
            </w:r>
          </w:p>
        </w:tc>
        <w:tc>
          <w:tcPr>
            <w:tcW w:type="dxa" w:w="2160"/>
            <w:shd w:fill="FC8D42"/>
          </w:tcPr>
          <w:p>
            <w:r>
              <w:rPr>
                <w:rFonts w:ascii="Marianne" w:hAnsi="Marianne"/>
                <w:b/>
                <w:color w:val="FFFFFF"/>
                <w:sz w:val="20"/>
              </w:rPr>
              <w:t>Standard SaaS B2B</w:t>
            </w:r>
          </w:p>
        </w:tc>
        <w:tc>
          <w:tcPr>
            <w:tcW w:type="dxa" w:w="2160"/>
            <w:shd w:fill="FC8D42"/>
          </w:tcPr>
          <w:p>
            <w:r>
              <w:rPr>
                <w:rFonts w:ascii="Marianne" w:hAnsi="Marianne"/>
                <w:b/>
                <w:color w:val="FFFFFF"/>
                <w:sz w:val="20"/>
              </w:rPr>
              <w:t>Nosho</w:t>
            </w:r>
          </w:p>
        </w:tc>
        <w:tc>
          <w:tcPr>
            <w:tcW w:type="dxa" w:w="2160"/>
            <w:shd w:fill="FC8D42"/>
          </w:tcPr>
          <w:p>
            <w:r>
              <w:rPr>
                <w:rFonts w:ascii="Marianne" w:hAnsi="Marianne"/>
                <w:b/>
                <w:color w:val="FFFFFF"/>
                <w:sz w:val="20"/>
              </w:rPr>
              <w:t>Evaluation</w:t>
            </w:r>
          </w:p>
        </w:tc>
      </w:tr>
      <w:tr>
        <w:tc>
          <w:tcPr>
            <w:tcW w:type="dxa" w:w="2160"/>
            <w:shd w:fill="FEF0E4"/>
          </w:tcPr>
          <w:p>
            <w:r>
              <w:rPr>
                <w:rFonts w:ascii="Marianne" w:hAnsi="Marianne"/>
                <w:color w:val="1D1D1B"/>
                <w:sz w:val="20"/>
              </w:rPr>
              <w:t>Product-Market Fit</w:t>
            </w:r>
          </w:p>
        </w:tc>
        <w:tc>
          <w:tcPr>
            <w:tcW w:type="dxa" w:w="2160"/>
            <w:shd w:fill="FEF0E4"/>
          </w:tcPr>
          <w:p>
            <w:r>
              <w:rPr>
                <w:rFonts w:ascii="Marianne" w:hAnsi="Marianne"/>
                <w:color w:val="1D1D1B"/>
                <w:sz w:val="20"/>
              </w:rPr>
              <w:t>&lt; 6 mois</w:t>
            </w:r>
          </w:p>
        </w:tc>
        <w:tc>
          <w:tcPr>
            <w:tcW w:type="dxa" w:w="2160"/>
            <w:shd w:fill="FEF0E4"/>
          </w:tcPr>
          <w:p>
            <w:r>
              <w:rPr>
                <w:rFonts w:ascii="Marianne" w:hAnsi="Marianne"/>
                <w:color w:val="1D1D1B"/>
                <w:sz w:val="20"/>
              </w:rPr>
              <w:t>Mois 1 (19 clients)</w:t>
            </w:r>
          </w:p>
        </w:tc>
        <w:tc>
          <w:tcPr>
            <w:tcW w:type="dxa" w:w="2160"/>
            <w:shd w:fill="FEF0E4"/>
          </w:tcPr>
          <w:p>
            <w:r>
              <w:rPr>
                <w:rFonts w:ascii="Marianne" w:hAnsi="Marianne"/>
                <w:color w:val="1D1D1B"/>
                <w:sz w:val="20"/>
              </w:rPr>
              <w:t>Excellent</w:t>
            </w:r>
          </w:p>
        </w:tc>
      </w:tr>
      <w:tr>
        <w:tc>
          <w:tcPr>
            <w:tcW w:type="dxa" w:w="2160"/>
          </w:tcPr>
          <w:p>
            <w:r>
              <w:rPr>
                <w:rFonts w:ascii="Marianne" w:hAnsi="Marianne"/>
                <w:color w:val="1D1D1B"/>
                <w:sz w:val="20"/>
              </w:rPr>
              <w:t>MRR a 6 mois</w:t>
            </w:r>
          </w:p>
        </w:tc>
        <w:tc>
          <w:tcPr>
            <w:tcW w:type="dxa" w:w="2160"/>
          </w:tcPr>
          <w:p>
            <w:r>
              <w:rPr>
                <w:rFonts w:ascii="Marianne" w:hAnsi="Marianne"/>
                <w:color w:val="1D1D1B"/>
                <w:sz w:val="20"/>
              </w:rPr>
              <w:t>1-5k EUR</w:t>
            </w:r>
          </w:p>
        </w:tc>
        <w:tc>
          <w:tcPr>
            <w:tcW w:type="dxa" w:w="2160"/>
          </w:tcPr>
          <w:p>
            <w:r>
              <w:rPr>
                <w:rFonts w:ascii="Marianne" w:hAnsi="Marianne"/>
                <w:color w:val="1D1D1B"/>
                <w:sz w:val="20"/>
              </w:rPr>
              <w:t>2 028 EUR</w:t>
            </w:r>
          </w:p>
        </w:tc>
        <w:tc>
          <w:tcPr>
            <w:tcW w:type="dxa" w:w="2160"/>
          </w:tcPr>
          <w:p>
            <w:r>
              <w:rPr>
                <w:rFonts w:ascii="Marianne" w:hAnsi="Marianne"/>
                <w:color w:val="1D1D1B"/>
                <w:sz w:val="20"/>
              </w:rPr>
              <w:t>Dans la norme</w:t>
            </w:r>
          </w:p>
        </w:tc>
      </w:tr>
      <w:tr>
        <w:tc>
          <w:tcPr>
            <w:tcW w:type="dxa" w:w="2160"/>
            <w:shd w:fill="FEF0E4"/>
          </w:tcPr>
          <w:p>
            <w:r>
              <w:rPr>
                <w:rFonts w:ascii="Marianne" w:hAnsi="Marianne"/>
                <w:color w:val="1D1D1B"/>
                <w:sz w:val="20"/>
              </w:rPr>
              <w:t>Croissance MoM</w:t>
            </w:r>
          </w:p>
        </w:tc>
        <w:tc>
          <w:tcPr>
            <w:tcW w:type="dxa" w:w="2160"/>
            <w:shd w:fill="FEF0E4"/>
          </w:tcPr>
          <w:p>
            <w:r>
              <w:rPr>
                <w:rFonts w:ascii="Marianne" w:hAnsi="Marianne"/>
                <w:color w:val="1D1D1B"/>
                <w:sz w:val="20"/>
              </w:rPr>
              <w:t>10-20%</w:t>
            </w:r>
          </w:p>
        </w:tc>
        <w:tc>
          <w:tcPr>
            <w:tcW w:type="dxa" w:w="2160"/>
            <w:shd w:fill="FEF0E4"/>
          </w:tcPr>
          <w:p>
            <w:r>
              <w:rPr>
                <w:rFonts w:ascii="Marianne" w:hAnsi="Marianne"/>
                <w:color w:val="1D1D1B"/>
                <w:sz w:val="20"/>
              </w:rPr>
              <w:t>~12-15%</w:t>
            </w:r>
          </w:p>
        </w:tc>
        <w:tc>
          <w:tcPr>
            <w:tcW w:type="dxa" w:w="2160"/>
            <w:shd w:fill="FEF0E4"/>
          </w:tcPr>
          <w:p>
            <w:r>
              <w:rPr>
                <w:rFonts w:ascii="Marianne" w:hAnsi="Marianne"/>
                <w:color w:val="1D1D1B"/>
                <w:sz w:val="20"/>
              </w:rPr>
              <w:t>Correct</w:t>
            </w:r>
          </w:p>
        </w:tc>
      </w:tr>
      <w:tr>
        <w:tc>
          <w:tcPr>
            <w:tcW w:type="dxa" w:w="2160"/>
          </w:tcPr>
          <w:p>
            <w:r>
              <w:rPr>
                <w:rFonts w:ascii="Marianne" w:hAnsi="Marianne"/>
                <w:color w:val="1D1D1B"/>
                <w:sz w:val="20"/>
              </w:rPr>
              <w:t>Churn mensuel</w:t>
            </w:r>
          </w:p>
        </w:tc>
        <w:tc>
          <w:tcPr>
            <w:tcW w:type="dxa" w:w="2160"/>
          </w:tcPr>
          <w:p>
            <w:r>
              <w:rPr>
                <w:rFonts w:ascii="Marianne" w:hAnsi="Marianne"/>
                <w:color w:val="1D1D1B"/>
                <w:sz w:val="20"/>
              </w:rPr>
              <w:t>&lt; 5%</w:t>
            </w:r>
          </w:p>
        </w:tc>
        <w:tc>
          <w:tcPr>
            <w:tcW w:type="dxa" w:w="2160"/>
          </w:tcPr>
          <w:p>
            <w:r>
              <w:rPr>
                <w:rFonts w:ascii="Marianne" w:hAnsi="Marianne"/>
                <w:color w:val="1D1D1B"/>
                <w:sz w:val="20"/>
              </w:rPr>
              <w:t>~0%</w:t>
            </w:r>
          </w:p>
        </w:tc>
        <w:tc>
          <w:tcPr>
            <w:tcW w:type="dxa" w:w="2160"/>
          </w:tcPr>
          <w:p>
            <w:r>
              <w:rPr>
                <w:rFonts w:ascii="Marianne" w:hAnsi="Marianne"/>
                <w:color w:val="1D1D1B"/>
                <w:sz w:val="20"/>
              </w:rPr>
              <w:t>Tres bien</w:t>
            </w:r>
          </w:p>
        </w:tc>
      </w:tr>
      <w:tr>
        <w:tc>
          <w:tcPr>
            <w:tcW w:type="dxa" w:w="2160"/>
            <w:shd w:fill="FEF0E4"/>
          </w:tcPr>
          <w:p>
            <w:r>
              <w:rPr>
                <w:rFonts w:ascii="Marianne" w:hAnsi="Marianne"/>
                <w:color w:val="1D1D1B"/>
                <w:sz w:val="20"/>
              </w:rPr>
              <w:t>Net Revenue Retention</w:t>
            </w:r>
          </w:p>
        </w:tc>
        <w:tc>
          <w:tcPr>
            <w:tcW w:type="dxa" w:w="2160"/>
            <w:shd w:fill="FEF0E4"/>
          </w:tcPr>
          <w:p>
            <w:r>
              <w:rPr>
                <w:rFonts w:ascii="Marianne" w:hAnsi="Marianne"/>
                <w:color w:val="1D1D1B"/>
                <w:sz w:val="20"/>
              </w:rPr>
              <w:t>&gt; 100%</w:t>
            </w:r>
          </w:p>
        </w:tc>
        <w:tc>
          <w:tcPr>
            <w:tcW w:type="dxa" w:w="2160"/>
            <w:shd w:fill="FEF0E4"/>
          </w:tcPr>
          <w:p>
            <w:r>
              <w:rPr>
                <w:rFonts w:ascii="Marianne" w:hAnsi="Marianne"/>
                <w:color w:val="1D1D1B"/>
                <w:sz w:val="20"/>
              </w:rPr>
              <w:t>&gt; 100% (usage)</w:t>
            </w:r>
          </w:p>
        </w:tc>
        <w:tc>
          <w:tcPr>
            <w:tcW w:type="dxa" w:w="2160"/>
            <w:shd w:fill="FEF0E4"/>
          </w:tcPr>
          <w:p>
            <w:r>
              <w:rPr>
                <w:rFonts w:ascii="Marianne" w:hAnsi="Marianne"/>
                <w:color w:val="1D1D1B"/>
                <w:sz w:val="20"/>
              </w:rPr>
              <w:t>Tres bien</w:t>
            </w:r>
          </w:p>
        </w:tc>
      </w:tr>
      <w:tr>
        <w:tc>
          <w:tcPr>
            <w:tcW w:type="dxa" w:w="2160"/>
          </w:tcPr>
          <w:p>
            <w:r>
              <w:rPr>
                <w:rFonts w:ascii="Marianne" w:hAnsi="Marianne"/>
                <w:color w:val="1D1D1B"/>
                <w:sz w:val="20"/>
              </w:rPr>
              <w:t>Pipe/MRR ratio</w:t>
            </w:r>
          </w:p>
        </w:tc>
        <w:tc>
          <w:tcPr>
            <w:tcW w:type="dxa" w:w="2160"/>
          </w:tcPr>
          <w:p>
            <w:r>
              <w:rPr>
                <w:rFonts w:ascii="Marianne" w:hAnsi="Marianne"/>
                <w:color w:val="1D1D1B"/>
                <w:sz w:val="20"/>
              </w:rPr>
              <w:t>2-4x</w:t>
            </w:r>
          </w:p>
        </w:tc>
        <w:tc>
          <w:tcPr>
            <w:tcW w:type="dxa" w:w="2160"/>
          </w:tcPr>
          <w:p>
            <w:r>
              <w:rPr>
                <w:rFonts w:ascii="Marianne" w:hAnsi="Marianne"/>
                <w:color w:val="1D1D1B"/>
                <w:sz w:val="20"/>
              </w:rPr>
              <w:t>2,5x</w:t>
            </w:r>
          </w:p>
        </w:tc>
        <w:tc>
          <w:tcPr>
            <w:tcW w:type="dxa" w:w="2160"/>
          </w:tcPr>
          <w:p>
            <w:r>
              <w:rPr>
                <w:rFonts w:ascii="Marianne" w:hAnsi="Marianne"/>
                <w:color w:val="1D1D1B"/>
                <w:sz w:val="20"/>
              </w:rPr>
              <w:t>Sain</w:t>
            </w:r>
          </w:p>
        </w:tc>
      </w:tr>
      <w:tr>
        <w:tc>
          <w:tcPr>
            <w:tcW w:type="dxa" w:w="2160"/>
            <w:shd w:fill="FEF0E4"/>
          </w:tcPr>
          <w:p>
            <w:r>
              <w:rPr>
                <w:rFonts w:ascii="Marianne" w:hAnsi="Marianne"/>
                <w:color w:val="1D1D1B"/>
                <w:sz w:val="20"/>
              </w:rPr>
              <w:t>Win rate</w:t>
            </w:r>
          </w:p>
        </w:tc>
        <w:tc>
          <w:tcPr>
            <w:tcW w:type="dxa" w:w="2160"/>
            <w:shd w:fill="FEF0E4"/>
          </w:tcPr>
          <w:p>
            <w:r>
              <w:rPr>
                <w:rFonts w:ascii="Marianne" w:hAnsi="Marianne"/>
                <w:color w:val="1D1D1B"/>
                <w:sz w:val="20"/>
              </w:rPr>
              <w:t>20-40%</w:t>
            </w:r>
          </w:p>
        </w:tc>
        <w:tc>
          <w:tcPr>
            <w:tcW w:type="dxa" w:w="2160"/>
            <w:shd w:fill="FEF0E4"/>
          </w:tcPr>
          <w:p>
            <w:r>
              <w:rPr>
                <w:rFonts w:ascii="Marianne" w:hAnsi="Marianne"/>
                <w:color w:val="1D1D1B"/>
                <w:sz w:val="20"/>
              </w:rPr>
              <w:t>37,8%</w:t>
            </w:r>
          </w:p>
        </w:tc>
        <w:tc>
          <w:tcPr>
            <w:tcW w:type="dxa" w:w="2160"/>
            <w:shd w:fill="FEF0E4"/>
          </w:tcPr>
          <w:p>
            <w:r>
              <w:rPr>
                <w:rFonts w:ascii="Marianne" w:hAnsi="Marianne"/>
                <w:color w:val="1D1D1B"/>
                <w:sz w:val="20"/>
              </w:rPr>
              <w:t>Correct</w:t>
            </w:r>
          </w:p>
        </w:tc>
      </w:tr>
      <w:tr>
        <w:tc>
          <w:tcPr>
            <w:tcW w:type="dxa" w:w="2160"/>
          </w:tcPr>
          <w:p>
            <w:r>
              <w:rPr>
                <w:rFonts w:ascii="Marianne" w:hAnsi="Marianne"/>
                <w:color w:val="1D1D1B"/>
                <w:sz w:val="20"/>
              </w:rPr>
              <w:t>Time to 10k MRR</w:t>
            </w:r>
          </w:p>
        </w:tc>
        <w:tc>
          <w:tcPr>
            <w:tcW w:type="dxa" w:w="2160"/>
          </w:tcPr>
          <w:p>
            <w:r>
              <w:rPr>
                <w:rFonts w:ascii="Marianne" w:hAnsi="Marianne"/>
                <w:color w:val="1D1D1B"/>
                <w:sz w:val="20"/>
              </w:rPr>
              <w:t>12-18 mois</w:t>
            </w:r>
          </w:p>
        </w:tc>
        <w:tc>
          <w:tcPr>
            <w:tcW w:type="dxa" w:w="2160"/>
          </w:tcPr>
          <w:p>
            <w:r>
              <w:rPr>
                <w:rFonts w:ascii="Marianne" w:hAnsi="Marianne"/>
                <w:color w:val="1D1D1B"/>
                <w:sz w:val="20"/>
              </w:rPr>
              <w:t>Proj. 12-18m</w:t>
            </w:r>
          </w:p>
        </w:tc>
        <w:tc>
          <w:tcPr>
            <w:tcW w:type="dxa" w:w="2160"/>
          </w:tcPr>
          <w:p>
            <w:r>
              <w:rPr>
                <w:rFonts w:ascii="Marianne" w:hAnsi="Marianne"/>
                <w:color w:val="1D1D1B"/>
                <w:sz w:val="20"/>
              </w:rPr>
              <w:t>En bonne voie</w:t>
            </w:r>
          </w:p>
        </w:tc>
      </w:tr>
    </w:tbl>
    <w:p/>
    <w:p>
      <w:r>
        <w:br w:type="page"/>
      </w:r>
    </w:p>
    <w:p>
      <w:pPr>
        <w:pStyle w:val="Heading1"/>
      </w:pPr>
      <w:r>
        <w:t>7. Risques &amp; Recommandations</w:t>
      </w:r>
    </w:p>
    <w:p>
      <w:pPr>
        <w:pStyle w:val="Heading2"/>
      </w:pPr>
      <w:r>
        <w:t>Risques identifies</w:t>
      </w:r>
    </w:p>
    <w:p>
      <w:r>
        <w:rPr>
          <w:rFonts w:ascii="Century Gothic" w:hAnsi="Century Gothic"/>
          <w:b/>
          <w:color w:val="E04B4B"/>
          <w:sz w:val="22"/>
        </w:rPr>
        <w:t xml:space="preserve">Concentration du pipeline : </w:t>
      </w:r>
      <w:r>
        <w:rPr>
          <w:rFonts w:ascii="Marianne" w:hAnsi="Marianne"/>
          <w:sz w:val="22"/>
        </w:rPr>
        <w:t>Oxance (2 500 EUR) + DocCity (1 764 EUR) = 45% de la valeur du pipe. Si ces deux deals sont perdus, impact significatif.</w:t>
      </w:r>
    </w:p>
    <w:p>
      <w:r>
        <w:rPr>
          <w:rFonts w:ascii="Century Gothic" w:hAnsi="Century Gothic"/>
          <w:b/>
          <w:color w:val="E04B4B"/>
          <w:sz w:val="22"/>
        </w:rPr>
        <w:t xml:space="preserve">Capacite commerciale : </w:t>
      </w:r>
      <w:r>
        <w:rPr>
          <w:rFonts w:ascii="Marianne" w:hAnsi="Marianne"/>
          <w:sz w:val="22"/>
        </w:rPr>
        <w:t>96 deals, 234 contacts, mais seulement 8 deal notes ce mois et 4 tasks overdue sur 8. Volume depasse la capacite de suivi.</w:t>
      </w:r>
    </w:p>
    <w:p>
      <w:r>
        <w:rPr>
          <w:rFonts w:ascii="Century Gothic" w:hAnsi="Century Gothic"/>
          <w:b/>
          <w:color w:val="E04B4B"/>
          <w:sz w:val="22"/>
        </w:rPr>
        <w:t xml:space="preserve">Acquisition post-lancement : </w:t>
      </w:r>
      <w:r>
        <w:rPr>
          <w:rFonts w:ascii="Marianne" w:hAnsi="Marianne"/>
          <w:sz w:val="22"/>
        </w:rPr>
        <w:t>3-4 clients/mois apres les 19 du launch. Funnel inbound limite.</w:t>
      </w:r>
    </w:p>
    <w:p>
      <w:r>
        <w:rPr>
          <w:rFonts w:ascii="Century Gothic" w:hAnsi="Century Gothic"/>
          <w:b/>
          <w:color w:val="E04B4B"/>
          <w:sz w:val="22"/>
        </w:rPr>
        <w:t xml:space="preserve">Contacts froids : </w:t>
      </w:r>
      <w:r>
        <w:rPr>
          <w:rFonts w:ascii="Marianne" w:hAnsi="Marianne"/>
          <w:sz w:val="22"/>
        </w:rPr>
        <w:t>68% des 234 contacts sont cold. Seulement 2 hot et 2 in-contract.</w:t>
      </w:r>
    </w:p>
    <w:p>
      <w:pPr>
        <w:pStyle w:val="Heading2"/>
      </w:pPr>
      <w:r>
        <w:t>Recommandations</w:t>
      </w:r>
    </w:p>
    <w:p>
      <w:r>
        <w:rPr>
          <w:rFonts w:ascii="Century Gothic" w:hAnsi="Century Gothic"/>
          <w:b/>
          <w:color w:val="2EA04F"/>
          <w:sz w:val="22"/>
        </w:rPr>
        <w:t xml:space="preserve">Renfort commercial : </w:t>
      </w:r>
      <w:r>
        <w:rPr>
          <w:rFonts w:ascii="Marianne" w:hAnsi="Marianne"/>
          <w:sz w:val="22"/>
        </w:rPr>
        <w:t>Recruter 1 SDR/BDR pour alimenter le funnel et liberer du temps fondateur pour closer les gros comptes.</w:t>
      </w:r>
    </w:p>
    <w:p>
      <w:r>
        <w:rPr>
          <w:rFonts w:ascii="Century Gothic" w:hAnsi="Century Gothic"/>
          <w:b/>
          <w:color w:val="2EA04F"/>
          <w:sz w:val="22"/>
        </w:rPr>
        <w:t xml:space="preserve">Nurturing automatise : </w:t>
      </w:r>
      <w:r>
        <w:rPr>
          <w:rFonts w:ascii="Marianne" w:hAnsi="Marianne"/>
          <w:sz w:val="22"/>
        </w:rPr>
        <w:t>Sequences email pour rechauffer les 160 contacts cold. Objectif : doubler le taux cold -&gt; warm.</w:t>
      </w:r>
    </w:p>
    <w:p>
      <w:r>
        <w:rPr>
          <w:rFonts w:ascii="Century Gothic" w:hAnsi="Century Gothic"/>
          <w:b/>
          <w:color w:val="2EA04F"/>
          <w:sz w:val="22"/>
        </w:rPr>
        <w:t xml:space="preserve">Focus gros comptes : </w:t>
      </w:r>
      <w:r>
        <w:rPr>
          <w:rFonts w:ascii="Marianne" w:hAnsi="Marianne"/>
          <w:sz w:val="22"/>
        </w:rPr>
        <w:t>Prioriser les 5 deals a 500 EUR+. Chaque conversion = +25-125% du MRR actuel.</w:t>
      </w:r>
    </w:p>
    <w:p>
      <w:r>
        <w:rPr>
          <w:rFonts w:ascii="Century Gothic" w:hAnsi="Century Gothic"/>
          <w:b/>
          <w:color w:val="2EA04F"/>
          <w:sz w:val="22"/>
        </w:rPr>
        <w:t xml:space="preserve">Accelerer les trials : </w:t>
      </w:r>
      <w:r>
        <w:rPr>
          <w:rFonts w:ascii="Marianne" w:hAnsi="Marianne"/>
          <w:sz w:val="22"/>
        </w:rPr>
        <w:t>5 trials = 1 208 EUR MRR potentiel a 80% de proba. Reduire le cycle et accompagner proactivement.</w:t>
      </w:r>
    </w:p>
    <w:p>
      <w:r>
        <w:rPr>
          <w:rFonts w:ascii="Century Gothic" w:hAnsi="Century Gothic"/>
          <w:b/>
          <w:color w:val="2EA04F"/>
          <w:sz w:val="22"/>
        </w:rPr>
        <w:t xml:space="preserve">Diversifier la base : </w:t>
      </w:r>
      <w:r>
        <w:rPr>
          <w:rFonts w:ascii="Marianne" w:hAnsi="Marianne"/>
          <w:sz w:val="22"/>
        </w:rPr>
        <w:t>Reduire la dependance aux top 5 comptes (50% du revenue) en accelerant l'acquisition mid-market.</w:t>
      </w:r>
    </w:p>
    <w:p>
      <w:r>
        <w:br w:type="page"/>
      </w:r>
    </w:p>
    <w:p>
      <w:pPr>
        <w:pStyle w:val="Heading1"/>
      </w:pPr>
      <w:r>
        <w:t>8. Verdict</w:t>
      </w:r>
    </w:p>
    <w:p>
      <w:pPr>
        <w:jc w:val="center"/>
      </w:pPr>
      <w:r>
        <w:rPr>
          <w:rFonts w:ascii="Century Gothic" w:hAnsi="Century Gothic"/>
          <w:b/>
          <w:color w:val="FC8D42"/>
          <w:sz w:val="36"/>
        </w:rPr>
        <w:t>Confiant, avec un point d'inflexion imminent.</w:t>
      </w:r>
    </w:p>
    <w:p/>
    <w:p>
      <w:pPr>
        <w:pStyle w:val="Heading2"/>
      </w:pPr>
      <w:r>
        <w:t>Les 3 signaux forts</w:t>
      </w:r>
    </w:p>
    <w:p>
      <w:r>
        <w:rPr>
          <w:rFonts w:ascii="Century Gothic" w:hAnsi="Century Gothic"/>
          <w:b/>
          <w:color w:val="FC8D42"/>
          <w:sz w:val="22"/>
        </w:rPr>
        <w:t xml:space="preserve">Modele hybride valide : </w:t>
      </w:r>
      <w:r>
        <w:rPr>
          <w:rFonts w:ascii="Marianne" w:hAnsi="Marianne"/>
          <w:sz w:val="22"/>
        </w:rPr>
        <w:t>NRR &gt; 100% naturel. Le Labo du Sourire a genere 27x son plan mensuel en revenue cumule.</w:t>
      </w:r>
    </w:p>
    <w:p>
      <w:r>
        <w:rPr>
          <w:rFonts w:ascii="Century Gothic" w:hAnsi="Century Gothic"/>
          <w:b/>
          <w:color w:val="FC8D42"/>
          <w:sz w:val="22"/>
        </w:rPr>
        <w:t xml:space="preserve">Shift upmarket confirme : </w:t>
      </w:r>
      <w:r>
        <w:rPr>
          <w:rFonts w:ascii="Marianne" w:hAnsi="Marianne"/>
          <w:sz w:val="22"/>
        </w:rPr>
        <w:t>ARPU pipe (191 EUR) = 7,7x ARPU won (25 EUR). Des hopitaux et groupements dans le funnel.</w:t>
      </w:r>
    </w:p>
    <w:p>
      <w:r>
        <w:rPr>
          <w:rFonts w:ascii="Century Gothic" w:hAnsi="Century Gothic"/>
          <w:b/>
          <w:color w:val="FC8D42"/>
          <w:sz w:val="22"/>
        </w:rPr>
        <w:t xml:space="preserve">Pipeline solide : </w:t>
      </w:r>
      <w:r>
        <w:rPr>
          <w:rFonts w:ascii="Marianne" w:hAnsi="Marianne"/>
          <w:sz w:val="22"/>
        </w:rPr>
        <w:t>5 000 EUR MRR pondere = 2,5x le MRR. Doublement realiste d'ici fin Q2.</w:t>
      </w:r>
    </w:p>
    <w:p>
      <w:pPr>
        <w:pStyle w:val="Heading2"/>
      </w:pPr>
      <w:r>
        <w:t>Le facteur limitant</w:t>
      </w:r>
    </w:p>
    <w:p>
      <w:r>
        <w:t>Le facteur limitant n'est ni le produit ni le marche — c'est la capacite commerciale. Le pipeline est riche (9 570 EUR brut, 50 deals), l'activite CRM montre un suivi reel mais tendu. Un renfort commercial ou un investissement outbound serait le meilleur accelerateur a ce stade.</w:t>
      </w:r>
    </w:p>
    <w:p/>
    <w:p>
      <w:r>
        <w:t>Trajectoire comparable aux meilleurs SaaS B2B vertical sante a ce stade. Les 3 prochains mois determineront si Nosho entre dans une phase de scaling accelere.</w:t>
      </w:r>
    </w:p>
    <w:p/>
    <w:p>
      <w:pPr>
        <w:jc w:val="center"/>
      </w:pPr>
      <w:r>
        <w:rPr>
          <w:rFonts w:ascii="Century Gothic" w:hAnsi="Century Gothic"/>
          <w:color w:val="FC8D42"/>
          <w:sz w:val="20"/>
        </w:rPr>
        <w:t>nosho  —  Board Review Mars 2026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Marianne" w:hAnsi="Marianne"/>
      <w:color w:val="1D1D1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entury Gothic" w:hAnsi="Century Gothic"/>
      <w:b/>
      <w:bCs/>
      <w:color w:val="FC8D42"/>
      <w:sz w:val="4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entury Gothic" w:hAnsi="Century Gothic"/>
      <w:b/>
      <w:bCs/>
      <w:color w:val="1D1D1B"/>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entury Gothic" w:hAnsi="Century Gothic"/>
      <w:b/>
      <w:bCs/>
      <w:color w:val="1D1D1B"/>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