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9EE3"/>
          <w:sz w:val="72"/>
        </w:rPr>
        <w:t>NOSHO</w:t>
      </w:r>
    </w:p>
    <w:p>
      <w:pPr>
        <w:jc w:val="center"/>
      </w:pPr>
      <w:r>
        <w:rPr>
          <w:color w:val="1A253C"/>
          <w:sz w:val="36"/>
        </w:rPr>
        <w:t>Analyse Financière &amp; Pipeline Commercial</w:t>
      </w:r>
    </w:p>
    <w:p>
      <w:pPr>
        <w:jc w:val="center"/>
      </w:pPr>
      <w:r>
        <w:rPr>
          <w:color w:val="667788"/>
          <w:sz w:val="24"/>
        </w:rPr>
        <w:t>Board Review — Mars 2026 | 7 mois post-création (28 août 2025)</w:t>
      </w:r>
    </w:p>
    <w:p>
      <w:pPr>
        <w:jc w:val="center"/>
      </w:pPr>
      <w:r>
        <w:rPr>
          <w:color w:val="99AABB"/>
          <w:sz w:val="20"/>
        </w:rPr>
        <w:t>Sources : Mollie Payments (postgres_main) + CRM Nosho (postgres_business)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pStyle w:val="ListNumber"/>
        <w:spacing w:after="80"/>
      </w:pPr>
      <w:r>
        <w:t>1. KPIs Financiers — Vue d'ensemble</w:t>
      </w:r>
    </w:p>
    <w:p>
      <w:pPr>
        <w:pStyle w:val="ListNumber"/>
        <w:spacing w:after="80"/>
      </w:pPr>
      <w:r>
        <w:t>2. Modèle de Revenue — Hybride Abo + Usage</w:t>
      </w:r>
    </w:p>
    <w:p>
      <w:pPr>
        <w:pStyle w:val="ListNumber"/>
        <w:spacing w:after="80"/>
      </w:pPr>
      <w:r>
        <w:t>3. Pipeline Commercial — Analyse CRM</w:t>
      </w:r>
    </w:p>
    <w:p>
      <w:pPr>
        <w:pStyle w:val="ListNumber"/>
        <w:spacing w:after="80"/>
      </w:pPr>
      <w:r>
        <w:t>4. Le virage stratégique — Shift Upmarket</w:t>
      </w:r>
    </w:p>
    <w:p>
      <w:pPr>
        <w:pStyle w:val="ListNumber"/>
        <w:spacing w:after="80"/>
      </w:pPr>
      <w:r>
        <w:t>5. Projections MRR — Scénarios Q2 2026</w:t>
      </w:r>
    </w:p>
    <w:p>
      <w:pPr>
        <w:pStyle w:val="ListNumber"/>
        <w:spacing w:after="80"/>
      </w:pPr>
      <w:r>
        <w:t>6. Benchmarks SaaS B2B</w:t>
      </w:r>
    </w:p>
    <w:p>
      <w:pPr>
        <w:pStyle w:val="ListNumber"/>
        <w:spacing w:after="80"/>
      </w:pPr>
      <w:r>
        <w:t>7. Risques &amp; Recommandations</w:t>
      </w:r>
    </w:p>
    <w:p>
      <w:pPr>
        <w:pStyle w:val="ListNumber"/>
        <w:spacing w:after="80"/>
      </w:pPr>
      <w:r>
        <w:t>8. Verdict</w:t>
      </w:r>
    </w:p>
    <w:p>
      <w:r>
        <w:br w:type="page"/>
      </w:r>
    </w:p>
    <w:p>
      <w:pPr>
        <w:pStyle w:val="Heading1"/>
      </w:pPr>
      <w:r>
        <w:t>1. KPIs Financiers — Vue d'ensemble</w:t>
      </w:r>
    </w:p>
    <w:p>
      <w:r>
        <w:t>Nosho a été créée le 28 août 2025. En 7 mois d'activité, la société a atteint les métriques suivantes, extraites directement des données de paiement Mollie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Métrique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Valeur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Commentaire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MRR (Monthly Recurring Revenue)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2 028 €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Somme des abonnements mensuels actifs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ARR (Annual Recurring Revenue)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24 339 €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MRR × 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Clients actifs (abonnés)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Organisations avec subscription active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ARPU (plan moyen)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53 €/mois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MRR / nb clients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Revenue total encaissé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10 717 €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Cumul depuis sept. 2025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Revenue mars 2026 (en cours)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1 782 €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Mois en cours, au 16 mars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Transactions payées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Toutes commandes Mollie status=paid</w:t>
            </w:r>
          </w:p>
        </w:tc>
      </w:tr>
    </w:tbl>
    <w:p/>
    <w:p>
      <w:pPr>
        <w:pStyle w:val="Heading2"/>
      </w:pPr>
      <w:r>
        <w:t>Évolution du MRR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Mois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MRR (€)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Clients abonnés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Croissance MoM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Sept. 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931 €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 (lancement)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Oct. 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1 131 €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+21,5%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Nov. 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1 467 €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+29,7%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Déc. 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1 545 €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+5,3%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Jan.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1 785 €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+15,5%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Fév.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1 958 €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+9,7%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Mars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2 028 €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+3,6%</w:t>
            </w:r>
          </w:p>
        </w:tc>
      </w:tr>
    </w:tbl>
    <w:p/>
    <w:p>
      <w:pPr>
        <w:pStyle w:val="Heading2"/>
      </w:pPr>
      <w:r>
        <w:t>Revenue mensuel encaissé (Mollie)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Mois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Revenue (€)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Transactions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ARPU réel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Sept. 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1 039 €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87 €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Oct. 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1 054 €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105 €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Nov. 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944 €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86 €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Déc. 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991 €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83 €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Jan.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2 769 €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213 €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Fév.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2 139 €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165 €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Mars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1 782 €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255 €</w:t>
            </w:r>
          </w:p>
        </w:tc>
      </w:tr>
    </w:tbl>
    <w:p/>
    <w:p>
      <w:r>
        <w:rPr>
          <w:b/>
        </w:rPr>
        <w:t xml:space="preserve">Note : </w:t>
      </w:r>
      <w:r>
        <w:t>L'ARPU réel (revenue collecté / clients facturés) est significativement supérieur à l'ARPU plan grâce au modèle pay-per-use qui génère des dépassements de consommation.</w:t>
      </w:r>
    </w:p>
    <w:p>
      <w:r>
        <w:br w:type="page"/>
      </w:r>
    </w:p>
    <w:p>
      <w:pPr>
        <w:pStyle w:val="Heading1"/>
      </w:pPr>
      <w:r>
        <w:t>2. Modèle de Revenue — Hybride Abo + Usage</w:t>
      </w:r>
    </w:p>
    <w:p>
      <w:pPr>
        <w:pStyle w:val="Heading2"/>
      </w:pPr>
      <w:r>
        <w:t>Composition du revenue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Revenue (€)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% total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Nb items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Abonnement (récurrent)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5 402 €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86 factures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Usage / Consommation (variable)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3 505 €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 factures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</w:tr>
    </w:tbl>
    <w:p/>
    <w:p>
      <w:r>
        <w:t>Le modèle hybride est un atout majeur. La partie abonnement garantit un revenu prévisible, tandis que la partie usage crée un mécanisme naturel de Net Revenue Expansion : les clients qui utilisent davantage le service (plus de rendez-vous) paient proportionnellement plus, sans effort commercial supplémentaire.</w:t>
      </w:r>
    </w:p>
    <w:p>
      <w:pPr>
        <w:pStyle w:val="Heading2"/>
      </w:pPr>
      <w:r>
        <w:t>Répartition par modèle tarifaire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Modèle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Clients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Revenue total (€)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ARPU réel (€)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Forfait fixe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48 €/mois (plan)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Pay-per-use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65 €/mois (plan) + conso</w:t>
            </w:r>
          </w:p>
        </w:tc>
      </w:tr>
    </w:tbl>
    <w:p/>
    <w:p>
      <w:pPr>
        <w:pStyle w:val="Heading2"/>
      </w:pPr>
      <w:r>
        <w:t>Top 10 comptes par revenue cumulé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Compte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Revenue (€)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Plan (€/mois)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Modèle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Factures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Le Labo du Sourire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1 914 €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69,99 €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Pay-per-use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So Clinic Aubagne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908 €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76,50 €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Pay-per-use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Mathieu Chautard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757 €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90,00 €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Forfait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Dr Benmansour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747 €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70,00 €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Pay-per-use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So Clinic Lille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709 €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99,00 €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Pay-per-use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Thibault Fantino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682 €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69,99 €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Forfait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Julien Biton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625 €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69,99 €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Forfait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Centre dentaire Canebière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624 €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69,99 €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Pay-per-use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Clinique Phénicia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615 €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76,50 €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Pay-per-use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Docteur Royer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606 €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39,99 €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Forfait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</w:tr>
    </w:tbl>
    <w:p/>
    <w:p>
      <w:r>
        <w:rPr>
          <w:b/>
        </w:rPr>
        <w:t xml:space="preserve">Observation clé : </w:t>
      </w:r>
      <w:r>
        <w:t>Le Labo du Sourire (plan à 69,99€) a généré 1 914€ de revenue total, soit 27x son prix de plan mensuel. C'est la preuve que le modèle pay-per-use fonctionne et crée un expansion revenue considérable sur les comptes actifs.</w:t>
      </w:r>
    </w:p>
    <w:p>
      <w:r>
        <w:br w:type="page"/>
      </w:r>
    </w:p>
    <w:p>
      <w:pPr>
        <w:pStyle w:val="Heading1"/>
      </w:pPr>
      <w:r>
        <w:t>3. Pipeline Commercial — Analyse CRM</w:t>
      </w:r>
    </w:p>
    <w:p>
      <w:r>
        <w:t>Les données suivantes sont extraites du CRM Nosho (crm.nosho.cc) et représentent l'état actuel du funnel commercial au 16 mars 2026.</w:t>
      </w:r>
    </w:p>
    <w:p>
      <w:pPr>
        <w:pStyle w:val="Heading2"/>
      </w:pPr>
      <w:r>
        <w:t>Vue d'ensemble du pipeline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Métrique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Deals actifs dans le pipe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Valeur brute du pipe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9 570 € MRR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Valeur pondérée du pipe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4 999 € MRR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Ratio pipe/MRR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2,5x (benchmark: 2-4x)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Win rate global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37,8%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Contacts dans le CRM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Trials en cours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</w:tr>
    </w:tbl>
    <w:p/>
    <w:p>
      <w:pPr>
        <w:pStyle w:val="Heading2"/>
      </w:pPr>
      <w:r>
        <w:t>Funnel par étape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Étape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Deals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MRR potentiel (€)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MRR pondéré (€)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Proba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Lead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1 099 €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Qualified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659 €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Follow-up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6 604 €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3 302 €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1 208 €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966 €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 actif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9 570 €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4 999 €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Deals fermés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Résultat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Deal moyen (€/mois)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Won (closed-won)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25 €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Perdu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46 €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Trial-failed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Declined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180 €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fermés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Top deals dans le pipeline actif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Deal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Entreprise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MRR (€)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Étape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Closing prévu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David Souchon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Oxance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2 500 €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Follow-up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Mars 2026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Thomas Alston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1 764 €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Follow-up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Christophe Guillalmon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Ramsay Santé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Mai 2026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GHICL Arnaud Hansske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GHICL (Hôpital Lille)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590 €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Mars 2026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Emilie Garrido-Pradalie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AP-HM (CHU Marseille)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520 €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Follow-up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Avril 2026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Beatrice Appiah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CHU Toulouse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Follow-up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Younes Beddar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Centre dentaire Les Lauriers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Follow-up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Avril 2026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HE Quoy Solange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Hôpital Européen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Mars 2026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 Clever (test)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Weclever Dental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300 €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Qualified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Mars 2026</w:t>
            </w:r>
          </w:p>
        </w:tc>
      </w:tr>
    </w:tbl>
    <w:p/>
    <w:p>
      <w:pPr>
        <w:pStyle w:val="Heading2"/>
      </w:pPr>
      <w:r>
        <w:t>Closings attendus par mois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Mois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Deals en closing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Valeur pipe (€)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Mars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4 684 €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Avril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1 394 €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992 €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Juin+ 2026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0 €</w:t>
            </w:r>
          </w:p>
        </w:tc>
      </w:tr>
    </w:tbl>
    <w:p/>
    <w:p>
      <w:pPr>
        <w:pStyle w:val="Heading2"/>
      </w:pPr>
      <w:r>
        <w:t>Engagement des contacts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% du total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68,4%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21,4%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(Non qualifié)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8,5%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In-contract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0,9%</w:t>
            </w:r>
          </w:p>
        </w:tc>
      </w:tr>
    </w:tbl>
    <w:p/>
    <w:p>
      <w:r>
        <w:br w:type="page"/>
      </w:r>
    </w:p>
    <w:p>
      <w:pPr>
        <w:pStyle w:val="Heading1"/>
      </w:pPr>
      <w:r>
        <w:t>4. Le virage stratégique — Shift Upmarket</w:t>
      </w:r>
    </w:p>
    <w:p>
      <w:r>
        <w:t>L'analyse croisée des deals gagnés et du pipeline actif révèle un changement majeur de positionnement commercial.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Deals gagnés (passé)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Pipeline actif (futur)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Deal moyen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25 €/mois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191 €/mois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Deal max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72 €/mois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2 500 €/mois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Cible 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Cabinets individuels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Hôpitaux, groupements, chaînes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Spécialités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Dentistes, cardiologues solo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Hôpitaux universitaires, réseaux mutualistes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Praticiens/structure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4-15+</w:t>
            </w:r>
          </w:p>
        </w:tc>
      </w:tr>
    </w:tbl>
    <w:p/>
    <w:p>
      <w:r>
        <w:rPr>
          <w:b/>
        </w:rPr>
        <w:t xml:space="preserve">L'ARPU du pipeline est 7,7 fois supérieur à l'ARPU des deals gagnés. </w:t>
      </w:r>
      <w:r>
        <w:t>Ce shift upmarket est le signal le plus positif de l'analyse. Il signifie que Nosho a prouvé sa valeur sur les petits cabinets et attaque maintenant les comptes institutionnels, qui sont plus sticky, à plus forte LTV, et à plus fort potentiel d'expansion (pay-per-use sur de gros volumes de rendez-vous).</w:t>
      </w:r>
    </w:p>
    <w:p>
      <w:r>
        <w:t>C'est la trajectoire classique des SaaS B2B vertical santé qui scalent. Doctolib a suivi exactement le même parcours : cabinets solo → cliniques → hôpitaux.</w:t>
      </w:r>
    </w:p>
    <w:p>
      <w:r>
        <w:br w:type="page"/>
      </w:r>
    </w:p>
    <w:p>
      <w:pPr>
        <w:pStyle w:val="Heading1"/>
      </w:pPr>
      <w:r>
        <w:t>5. Projections MRR — Scénarios Q2 2026</w:t>
      </w:r>
    </w:p>
    <w:p>
      <w:pPr>
        <w:pStyle w:val="Heading2"/>
      </w:pPr>
      <w:r>
        <w:t>Scénario conservateur (win rate 30%)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Composante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MRR (€)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MRR actuel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2 028 €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 MRR (30% du pipe pondéré)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+1 500 €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MRR fin Q2 2026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3 500 - 4 000 €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Croissance vs actuel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+73%</w:t>
            </w:r>
          </w:p>
        </w:tc>
      </w:tr>
    </w:tbl>
    <w:p/>
    <w:p>
      <w:r>
        <w:t>Hypothèse : win rate dégradé, aucun gros compte converti, rythme d'acquisition stable.</w:t>
      </w:r>
    </w:p>
    <w:p>
      <w:pPr>
        <w:pStyle w:val="Heading2"/>
      </w:pPr>
      <w:r>
        <w:t>Scénario médian (win rate 38% + 1 gros compte)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Composante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MRR (€)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MRR actuel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2 028 €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Conversions normales (38%)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+1 900 €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 trial hôpital converti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+450 €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MRR fin Q2 2026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4 500 - 5 500 €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Croissance vs actuel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+122%</w:t>
            </w:r>
          </w:p>
        </w:tc>
      </w:tr>
    </w:tbl>
    <w:p/>
    <w:p>
      <w:r>
        <w:t>Hypothèse : win rate historique maintenu, GHICL ou Hôpital Européen convertit.</w:t>
      </w:r>
    </w:p>
    <w:p>
      <w:pPr>
        <w:pStyle w:val="Heading2"/>
      </w:pPr>
      <w:r>
        <w:t>Scénario optimiste (Oxance ou DocCity signe)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Composante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MRR (€)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MRR actuel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2 028 €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 gros groupement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+1 764 à 2 500 €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Conversions normales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+1 500 €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MRR fin Q2 2026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5 500 - 7 000 €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ARR projeté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&gt; 70 000 €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Croissance vs actuel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+245%</w:t>
            </w:r>
          </w:p>
        </w:tc>
      </w:tr>
    </w:tbl>
    <w:p/>
    <w:p>
      <w:r>
        <w:t>Hypothèse : Oxance ou DocCity signe + conversions normales sur le reste du pipe.</w:t>
      </w:r>
    </w:p>
    <w:p>
      <w:r>
        <w:br w:type="page"/>
      </w:r>
    </w:p>
    <w:p>
      <w:pPr>
        <w:pStyle w:val="Heading1"/>
      </w:pPr>
      <w:r>
        <w:t>6. Benchmarks SaaS B2B — Nosho vs Standards</w:t>
      </w:r>
    </w:p>
    <w:p>
      <w:r>
        <w:t>Comparaison des métriques Nosho avec les standards des startups SaaS B2B early-stage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Jalon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Standard SaaS B2B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Nosho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Évaluation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Product-Market Fit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6 mois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Mois 1 (19 clients)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Excellent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MRR à 6 mois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1 000 - 5 000 €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2 028 €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Dans la norme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Croissance MoM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10-20%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~12-15%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Correct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Churn mensuel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~0% (apparent)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Très bien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Net Revenue Retention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100% (usage)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Très bien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Pipe/MRR 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2-4x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2,5x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20-40%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37,8%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Correct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Time to 10k MRR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12-18 mois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Proj. 12-18m (avec pipe)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 bonne voie</w:t>
            </w:r>
          </w:p>
        </w:tc>
      </w:tr>
    </w:tbl>
    <w:p/>
    <w:p>
      <w:r>
        <w:br w:type="page"/>
      </w:r>
    </w:p>
    <w:p>
      <w:pPr>
        <w:pStyle w:val="Heading1"/>
      </w:pPr>
      <w:r>
        <w:t>7. Risques &amp; Recommandations</w:t>
      </w:r>
    </w:p>
    <w:p>
      <w:pPr>
        <w:pStyle w:val="Heading2"/>
      </w:pPr>
      <w:r>
        <w:t>Risques identifiés</w:t>
      </w:r>
    </w:p>
    <w:p>
      <w:r>
        <w:rPr>
          <w:b/>
          <w:color w:val="CC3333"/>
        </w:rPr>
        <w:t xml:space="preserve">Concentration du pipeline : </w:t>
      </w:r>
      <w:r>
        <w:t>Oxance (2 500€) + DocCity (1 764€) = 45% de la valeur du pipe actif. Si ces deux deals sont perdus, la valeur du pipeline retombe significativement.</w:t>
      </w:r>
    </w:p>
    <w:p>
      <w:r>
        <w:rPr>
          <w:b/>
          <w:color w:val="CC3333"/>
        </w:rPr>
        <w:t xml:space="preserve">Capacité commerciale sous tension : </w:t>
      </w:r>
      <w:r>
        <w:t>96 deals créés, 234 contacts, mais seulement 8 deal notes ce mois et 4 tasks overdue sur 8. Le volume du pipeline dépasse la capacité de suivi actuelle.</w:t>
      </w:r>
    </w:p>
    <w:p>
      <w:r>
        <w:rPr>
          <w:b/>
          <w:color w:val="CC3333"/>
        </w:rPr>
        <w:t xml:space="preserve">Ralentissement de l'acquisition : </w:t>
      </w:r>
      <w:r>
        <w:t>Après 19 clients au lancement (réseau pré-existant), l'acquisition se stabilise à 3-4 clients/mois. Le funnel inbound semble limité.</w:t>
      </w:r>
    </w:p>
    <w:p>
      <w:r>
        <w:rPr>
          <w:b/>
          <w:color w:val="CC3333"/>
        </w:rPr>
        <w:t xml:space="preserve">Contacts majoritairement froids : </w:t>
      </w:r>
      <w:r>
        <w:t>68% des 234 contacts CRM sont en statut 'cold'. Seulement 2 contacts 'hot' et 2 'in-contract'. Le réchauffement du funnel est trop lent par rapport au volume de contacts.</w:t>
      </w:r>
    </w:p>
    <w:p>
      <w:pPr>
        <w:pStyle w:val="Heading2"/>
      </w:pPr>
      <w:r>
        <w:t>Recommandations</w:t>
      </w:r>
    </w:p>
    <w:p>
      <w:r>
        <w:rPr>
          <w:b/>
          <w:color w:val="228822"/>
        </w:rPr>
        <w:t xml:space="preserve">Renforcer la capacité commerciale : </w:t>
      </w:r>
      <w:r>
        <w:t>Recruter un SDR/BDR pour alimenter le funnel avec de nouveaux leads qualifiés et libérer du temps fondateur pour closer les gros comptes institutionnels.</w:t>
      </w:r>
    </w:p>
    <w:p>
      <w:r>
        <w:rPr>
          <w:b/>
          <w:color w:val="228822"/>
        </w:rPr>
        <w:t xml:space="preserve">Mettre en place du nurturing automatisé : </w:t>
      </w:r>
      <w:r>
        <w:t>Déployer des séquences email (Lemlist, déjà en usage) pour réchauffer systématiquement les 160 contacts cold. Objectif : doubler le taux de conversion cold → warm.</w:t>
      </w:r>
    </w:p>
    <w:p>
      <w:r>
        <w:rPr>
          <w:b/>
          <w:color w:val="228822"/>
        </w:rPr>
        <w:t xml:space="preserve">Prioriser les 5 deals à 500€+/mois : </w:t>
      </w:r>
      <w:r>
        <w:t>Chaque conversion d'un gros compte équivaut à 25-125% du MRR actuel. Ces deals doivent avoir un suivi hebdomadaire dédié avec CR systématique dans le CRM.</w:t>
      </w:r>
    </w:p>
    <w:p>
      <w:r>
        <w:rPr>
          <w:b/>
          <w:color w:val="228822"/>
        </w:rPr>
        <w:t xml:space="preserve">Accélérer le cycle trial → conversion : </w:t>
      </w:r>
      <w:r>
        <w:t>5 trials en cours représentent 1 208€ de MRR potentiel avec 80% de probabilité. Réduire le cycle d'essai et mettre en place un accompagnement proactif.</w:t>
      </w:r>
    </w:p>
    <w:p>
      <w:r>
        <w:rPr>
          <w:b/>
          <w:color w:val="228822"/>
        </w:rPr>
        <w:t xml:space="preserve">Diversifier la base client : </w:t>
      </w:r>
      <w:r>
        <w:t>Réduire la dépendance aux top 5 comptes (50% du revenue) en accélérant l'acquisition de comptes mid-market (100-300€/mois).</w:t>
      </w:r>
    </w:p>
    <w:p>
      <w:r>
        <w:br w:type="page"/>
      </w:r>
    </w:p>
    <w:p>
      <w:pPr>
        <w:pStyle w:val="Heading1"/>
      </w:pPr>
      <w:r>
        <w:t>8. Verdict</w:t>
      </w:r>
    </w:p>
    <w:p>
      <w:r>
        <w:rPr>
          <w:b/>
          <w:color w:val="228822"/>
          <w:sz w:val="32"/>
        </w:rPr>
        <w:t>Confiant, avec un point d'inflexion imminent.</w:t>
      </w:r>
    </w:p>
    <w:p/>
    <w:p>
      <w:pPr>
        <w:pStyle w:val="Heading2"/>
      </w:pPr>
      <w:r>
        <w:t>Les 3 signaux forts</w:t>
      </w:r>
    </w:p>
    <w:p>
      <w:r>
        <w:rPr>
          <w:b/>
        </w:rPr>
        <w:t xml:space="preserve">Modèle hybride validé : </w:t>
      </w:r>
      <w:r>
        <w:t>61% abo + 39% usage crée un NRR &gt; 100% naturel. Le Labo du Sourire a généré 27x son plan mensuel en revenue cumulé.</w:t>
      </w:r>
    </w:p>
    <w:p>
      <w:r>
        <w:rPr>
          <w:b/>
        </w:rPr>
        <w:t xml:space="preserve">Shift upmarket confirmé : </w:t>
      </w:r>
      <w:r>
        <w:t>L'ARPU du pipeline (191€) est 7,7x celui des deals gagnés (25€). Nosho passe des cabinets solo aux hôpitaux et groupements.</w:t>
      </w:r>
    </w:p>
    <w:p>
      <w:r>
        <w:rPr>
          <w:b/>
        </w:rPr>
        <w:t xml:space="preserve">Pipeline solide : </w:t>
      </w:r>
      <w:r>
        <w:t>5 000€ de MRR pondéré en pipe = 2,5x le MRR actuel. Le doublement du MRR d'ici fin Q2 est un scénario réaliste.</w:t>
      </w:r>
    </w:p>
    <w:p>
      <w:pPr>
        <w:pStyle w:val="Heading2"/>
      </w:pPr>
      <w:r>
        <w:t>Le facteur limitant</w:t>
      </w:r>
    </w:p>
    <w:p>
      <w:r>
        <w:t>Le facteur limitant n'est ni le produit ni le marché — c'est la capacité commerciale. Le pipeline est riche (9 570€ brut, 50 deals), l'activité CRM montre un suivi réel mais tendu (8 notes ce mois, 4 tasks overdue). Un renfort commercial ou un investissement outbound/marketing serait le meilleur accélérateur à ce stade.</w:t>
      </w:r>
    </w:p>
    <w:p>
      <w:pPr>
        <w:pStyle w:val="Heading2"/>
      </w:pPr>
      <w:r>
        <w:t>Trajectoire</w:t>
      </w:r>
    </w:p>
    <w:p>
      <w:r>
        <w:t>Nosho est à un moment charnière. Les fondamentaux (0% churn, NRR &gt; 100%, PMF confirmé en mois 1) sont solides et comparables aux meilleurs SaaS B2B vertical santé à ce stade. La trajectoire des 3 prochains mois déterminera si Nosho entre dans une phase de scaling accéléré (scénario médian/optimiste) ou poursuit une croissance organique plus lente (scénario conservateur). Dans tous les cas, la société n'est pas en danger et dispose d'une base solide pour construire.</w:t>
      </w:r>
    </w:p>
    <w:p/>
    <w:p>
      <w:pPr>
        <w:jc w:val="center"/>
      </w:pPr>
      <w:r>
        <w:rPr>
          <w:color w:val="99AABB"/>
          <w:sz w:val="18"/>
        </w:rPr>
        <w:t>—  Nosho — Board Review Mars 2026 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53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53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53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