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20" w:before="480"/>
        <w:jc w:val="center"/>
      </w:pPr>
      <w:r>
        <w:rPr>
          <w:rFonts w:ascii="Arial" w:cs="Arial" w:eastAsia="Arial" w:hAnsi="Arial"/>
          <w:b/>
          <w:bCs/>
          <w:color w:val="1F3864"/>
          <w:sz w:val="56"/>
          <w:szCs w:val="56"/>
        </w:rPr>
        <w:t xml:space="preserve">数据安全风险整改进度</w:t>
      </w:r>
    </w:p>
    <w:p>
      <w:pPr>
        <w:spacing w:after="240" w:before="0"/>
        <w:jc w:val="center"/>
      </w:pPr>
      <w:r>
        <w:rPr>
          <w:rFonts w:ascii="Arial" w:cs="Arial" w:eastAsia="Arial" w:hAnsi="Arial"/>
          <w:b/>
          <w:bCs/>
          <w:color w:val="1F3864"/>
          <w:sz w:val="56"/>
          <w:szCs w:val="56"/>
        </w:rPr>
        <w:t xml:space="preserve">月度汇总报告</w:t>
      </w:r>
    </w:p>
    <w:p>
      <w:pPr>
        <w:pBdr>
          <w:bottom w:val="single" w:color="2E75B6" w:sz="8" w:space="6"/>
        </w:pBdr>
        <w:spacing w:after="600" w:before="0"/>
        <w:jc w:val="center"/>
      </w:pPr>
      <w:r>
        <w:rPr>
          <w:rFonts w:ascii="Arial" w:cs="Arial" w:eastAsia="Arial" w:hAnsi="Arial"/>
          <w:color w:val="2E75B6"/>
          <w:sz w:val="28"/>
          <w:szCs w:val="28"/>
        </w:rPr>
        <w:t xml:space="preserve">（2025年3月）</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报告标题</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数据安全风险整改进度月度汇总报告</w:t>
            </w:r>
          </w:p>
        </w:tc>
      </w:tr>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报告期间</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2025年3月</w:t>
            </w:r>
          </w:p>
        </w:tc>
      </w:tr>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编制部门</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合规与风控部</w:t>
            </w:r>
          </w:p>
        </w:tc>
      </w:tr>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编制人</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数据安全整改工作组</w:t>
            </w:r>
          </w:p>
        </w:tc>
      </w:tr>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编制日期</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2025年4月8日</w:t>
            </w:r>
          </w:p>
        </w:tc>
      </w:tr>
      <w:tr>
        <w:tc>
          <w:tcPr>
            <w:tcW w:type="dxa" w:w="28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20"/>
            </w:tcMar>
          </w:tcPr>
          <w:p>
            <w:r>
              <w:rPr>
                <w:rFonts w:ascii="Arial" w:cs="Arial" w:eastAsia="Arial" w:hAnsi="Arial"/>
                <w:b/>
                <w:bCs/>
                <w:color w:val="1F3864"/>
                <w:sz w:val="20"/>
                <w:szCs w:val="20"/>
              </w:rPr>
              <w:t xml:space="preserve">文件密级</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60"/>
              <w:bottom w:type="dxa" w:w="100"/>
              <w:right w:type="dxa" w:w="120"/>
            </w:tcMar>
          </w:tcPr>
          <w:p>
            <w:r>
              <w:rPr>
                <w:rFonts w:ascii="Arial" w:cs="Arial" w:eastAsia="Arial" w:hAnsi="Arial"/>
                <w:sz w:val="20"/>
                <w:szCs w:val="20"/>
              </w:rPr>
              <w:t xml:space="preserve">内部文件</w:t>
            </w:r>
          </w:p>
        </w:tc>
      </w:tr>
    </w:tbl>
    <w:p>
      <w:pPr>
        <w:spacing w:after="240" w:before="240"/>
      </w:pPr>
      <w: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一、本月整改工作总体情况</w:t>
      </w:r>
    </w:p>
    <w:p>
      <w:pPr>
        <w:spacing w:after="60" w:before="60"/>
      </w:pPr>
      <w:r>
        <w:rPr>
          <w:rFonts w:ascii="Arial" w:cs="Arial" w:eastAsia="Arial" w:hAnsi="Arial"/>
          <w:b w:val="false"/>
          <w:bCs w:val="false"/>
          <w:color w:val="000000"/>
          <w:sz w:val="20"/>
          <w:szCs w:val="20"/>
        </w:rPr>
        <w:t xml:space="preserve">本报告数据来源于《数据安全风险整改追踪表.xlsx》（统计周期：2025年3月1日至3月31日）。本月整改工作整体推进有序，整体完成率较上月有所提升。</w:t>
      </w:r>
    </w:p>
    <w:p>
      <w:pPr>
        <w:spacing w:after="60" w:before="60"/>
      </w:pPr>
      <w:r>
        <w:t xml:space="preserve"/>
      </w:r>
    </w:p>
    <w:p>
      <w:pPr>
        <w:pStyle w:val="Heading2"/>
        <w:spacing w:after="80" w:before="180"/>
      </w:pPr>
      <w:r>
        <w:rPr>
          <w:rFonts w:ascii="Arial" w:cs="Arial" w:eastAsia="Arial" w:hAnsi="Arial"/>
          <w:b/>
          <w:bCs/>
          <w:color w:val="2E75B6"/>
          <w:sz w:val="26"/>
          <w:szCs w:val="26"/>
        </w:rPr>
        <w:t xml:space="preserve">1.1 关键指标概览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2E75B6" w:val="clear"/>
            <w:tcMar>
              <w:top w:type="dxa" w:w="120"/>
              <w:left w:type="dxa" w:w="160"/>
              <w:bottom w:type="dxa" w:w="120"/>
              <w:right w:type="dxa" w:w="160"/>
            </w:tcMar>
          </w:tcPr>
          <w:p>
            <w:pPr>
              <w:spacing w:after="40"/>
              <w:jc w:val="center"/>
            </w:pPr>
            <w:r>
              <w:rPr>
                <w:rFonts w:ascii="Arial" w:cs="Arial" w:eastAsia="Arial" w:hAnsi="Arial"/>
                <w:color w:val="FFFFFF"/>
                <w:sz w:val="18"/>
                <w:szCs w:val="18"/>
              </w:rPr>
              <w:t xml:space="preserve">本月整体完成率</w:t>
            </w:r>
          </w:p>
          <w:p>
            <w:pPr>
              <w:spacing w:after="20"/>
              <w:jc w:val="center"/>
            </w:pPr>
            <w:r>
              <w:rPr>
                <w:rFonts w:ascii="Arial" w:cs="Arial" w:eastAsia="Arial" w:hAnsi="Arial"/>
                <w:b/>
                <w:bCs/>
                <w:color w:val="FFFFFF"/>
                <w:sz w:val="40"/>
                <w:szCs w:val="40"/>
              </w:rPr>
              <w:t xml:space="preserve">38.5%</w:t>
            </w:r>
          </w:p>
          <w:p>
            <w:pPr>
              <w:jc w:val="center"/>
            </w:pPr>
            <w:r>
              <w:rPr>
                <w:rFonts w:ascii="Arial" w:cs="Arial" w:eastAsia="Arial" w:hAnsi="Arial"/>
                <w:color w:val="DDDDDD"/>
                <w:sz w:val="16"/>
                <w:szCs w:val="16"/>
              </w:rPr>
              <w:t xml:space="preserve">↑ 较上月提升 7.7pp</w:t>
            </w:r>
          </w:p>
        </w:tc>
        <w:tc>
          <w:tcPr>
            <w:tcW w:type="dxa" w:w="2340"/>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pPr>
              <w:spacing w:after="40"/>
              <w:jc w:val="center"/>
            </w:pPr>
            <w:r>
              <w:rPr>
                <w:rFonts w:ascii="Arial" w:cs="Arial" w:eastAsia="Arial" w:hAnsi="Arial"/>
                <w:color w:val="FFFFFF"/>
                <w:sz w:val="18"/>
                <w:szCs w:val="18"/>
              </w:rPr>
              <w:t xml:space="preserve">累计完成率</w:t>
            </w:r>
          </w:p>
          <w:p>
            <w:pPr>
              <w:spacing w:after="20"/>
              <w:jc w:val="center"/>
            </w:pPr>
            <w:r>
              <w:rPr>
                <w:rFonts w:ascii="Arial" w:cs="Arial" w:eastAsia="Arial" w:hAnsi="Arial"/>
                <w:b/>
                <w:bCs/>
                <w:color w:val="FFFFFF"/>
                <w:sz w:val="40"/>
                <w:szCs w:val="40"/>
              </w:rPr>
              <w:t xml:space="preserve">62.5%</w:t>
            </w:r>
          </w:p>
          <w:p>
            <w:pPr>
              <w:jc w:val="center"/>
            </w:pPr>
            <w:r>
              <w:rPr>
                <w:rFonts w:ascii="Arial" w:cs="Arial" w:eastAsia="Arial" w:hAnsi="Arial"/>
                <w:color w:val="DDDDDD"/>
                <w:sz w:val="16"/>
                <w:szCs w:val="16"/>
              </w:rPr>
              <w:t xml:space="preserve">10/16 项已完成</w:t>
            </w:r>
          </w:p>
        </w:tc>
        <w:tc>
          <w:tcPr>
            <w:tcW w:type="dxa" w:w="2340"/>
            <w:tcBorders>
              <w:top w:val="single" w:color="AAAAAA" w:sz="4"/>
              <w:left w:val="single" w:color="AAAAAA" w:sz="4"/>
              <w:bottom w:val="single" w:color="AAAAAA" w:sz="4"/>
              <w:right w:val="single" w:color="AAAAAA" w:sz="4"/>
            </w:tcBorders>
            <w:shd w:fill="1F3864" w:val="clear"/>
            <w:tcMar>
              <w:top w:type="dxa" w:w="120"/>
              <w:left w:type="dxa" w:w="160"/>
              <w:bottom w:type="dxa" w:w="120"/>
              <w:right w:type="dxa" w:w="160"/>
            </w:tcMar>
          </w:tcPr>
          <w:p>
            <w:pPr>
              <w:spacing w:after="40"/>
              <w:jc w:val="center"/>
            </w:pPr>
            <w:r>
              <w:rPr>
                <w:rFonts w:ascii="Arial" w:cs="Arial" w:eastAsia="Arial" w:hAnsi="Arial"/>
                <w:color w:val="FFFFFF"/>
                <w:sz w:val="18"/>
                <w:szCs w:val="18"/>
              </w:rPr>
              <w:t xml:space="preserve">逾期未完成项</w:t>
            </w:r>
          </w:p>
          <w:p>
            <w:pPr>
              <w:spacing w:after="20"/>
              <w:jc w:val="center"/>
            </w:pPr>
            <w:r>
              <w:rPr>
                <w:rFonts w:ascii="Arial" w:cs="Arial" w:eastAsia="Arial" w:hAnsi="Arial"/>
                <w:b/>
                <w:bCs/>
                <w:color w:val="FFFFFF"/>
                <w:sz w:val="40"/>
                <w:szCs w:val="40"/>
              </w:rPr>
              <w:t xml:space="preserve">5 项</w:t>
            </w:r>
          </w:p>
          <w:p>
            <w:pPr>
              <w:jc w:val="center"/>
            </w:pPr>
            <w:r>
              <w:rPr>
                <w:rFonts w:ascii="Arial" w:cs="Arial" w:eastAsia="Arial" w:hAnsi="Arial"/>
                <w:color w:val="DDDDDD"/>
                <w:sz w:val="16"/>
                <w:szCs w:val="16"/>
              </w:rPr>
              <w:t xml:space="preserve">高风险 2 项</w:t>
            </w:r>
          </w:p>
        </w:tc>
        <w:tc>
          <w:tcPr>
            <w:tcW w:type="dxa" w:w="2340"/>
            <w:tcBorders>
              <w:top w:val="single" w:color="AAAAAA" w:sz="4"/>
              <w:left w:val="single" w:color="AAAAAA" w:sz="4"/>
              <w:bottom w:val="single" w:color="AAAAAA" w:sz="4"/>
              <w:right w:val="single" w:color="AAAAAA" w:sz="4"/>
            </w:tcBorders>
            <w:shd w:fill="C00000" w:val="clear"/>
            <w:tcMar>
              <w:top w:type="dxa" w:w="120"/>
              <w:left w:type="dxa" w:w="160"/>
              <w:bottom w:type="dxa" w:w="120"/>
              <w:right w:type="dxa" w:w="160"/>
            </w:tcMar>
          </w:tcPr>
          <w:p>
            <w:pPr>
              <w:spacing w:after="40"/>
              <w:jc w:val="center"/>
            </w:pPr>
            <w:r>
              <w:rPr>
                <w:rFonts w:ascii="Arial" w:cs="Arial" w:eastAsia="Arial" w:hAnsi="Arial"/>
                <w:color w:val="FFFFFF"/>
                <w:sz w:val="18"/>
                <w:szCs w:val="18"/>
              </w:rPr>
              <w:t xml:space="preserve">本月新增风险项</w:t>
            </w:r>
          </w:p>
          <w:p>
            <w:pPr>
              <w:spacing w:after="20"/>
              <w:jc w:val="center"/>
            </w:pPr>
            <w:r>
              <w:rPr>
                <w:rFonts w:ascii="Arial" w:cs="Arial" w:eastAsia="Arial" w:hAnsi="Arial"/>
                <w:b/>
                <w:bCs/>
                <w:color w:val="FFFFFF"/>
                <w:sz w:val="40"/>
                <w:szCs w:val="40"/>
              </w:rPr>
              <w:t xml:space="preserve">3 项</w:t>
            </w:r>
          </w:p>
          <w:p>
            <w:pPr>
              <w:jc w:val="center"/>
            </w:pPr>
            <w:r>
              <w:rPr>
                <w:rFonts w:ascii="Arial" w:cs="Arial" w:eastAsia="Arial" w:hAnsi="Arial"/>
                <w:color w:val="DDDDDD"/>
                <w:sz w:val="16"/>
                <w:szCs w:val="16"/>
              </w:rPr>
              <w:t xml:space="preserve">高风险 1 项</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注：整体完成率 = 本月已完成整改项 ÷ 当前风险项总数（含本月新增）。累计完成率 = 累计已完成项 ÷ 风险项总数16项。</w:t>
      </w:r>
    </w:p>
    <w:p>
      <w:pPr>
        <w:spacing w:after="60" w:before="60"/>
      </w:pPr>
      <w:r>
        <w:t xml:space="preserve"/>
      </w:r>
    </w:p>
    <w:p>
      <w:pPr>
        <w:pStyle w:val="Heading2"/>
        <w:spacing w:after="80" w:before="180"/>
      </w:pPr>
      <w:r>
        <w:rPr>
          <w:rFonts w:ascii="Arial" w:cs="Arial" w:eastAsia="Arial" w:hAnsi="Arial"/>
          <w:b/>
          <w:bCs/>
          <w:color w:val="2E75B6"/>
          <w:sz w:val="26"/>
          <w:szCs w:val="26"/>
        </w:rPr>
        <w:t xml:space="preserve">1.2 按风险等级分布统计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rPr>
          <w:tblHeader/>
        </w:trPr>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风险等级</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上月遗留数</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本月新增数</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本月完成数</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当前遗留数</w:t>
            </w:r>
          </w:p>
        </w:tc>
        <w:tc>
          <w:tcPr>
            <w:tcW w:type="dxa" w:w="19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完成率</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25.0%</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FF6600"/>
                <w:sz w:val="18"/>
                <w:szCs w:val="18"/>
              </w:rPr>
              <w:t xml:space="preserve">中风险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42.9%</w:t>
            </w:r>
          </w:p>
        </w:tc>
      </w:tr>
      <w:tr>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低风险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50.0%</w:t>
            </w:r>
          </w:p>
        </w:tc>
      </w:tr>
      <w:tr>
        <w:tc>
          <w:tcPr>
            <w:tcW w:type="dxa" w:w="18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合计</w:t>
            </w:r>
          </w:p>
        </w:tc>
        <w:tc>
          <w:tcPr>
            <w:tcW w:type="dxa" w:w="1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10</w:t>
            </w:r>
          </w:p>
        </w:tc>
        <w:tc>
          <w:tcPr>
            <w:tcW w:type="dxa" w:w="1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w:t>
            </w:r>
          </w:p>
        </w:tc>
        <w:tc>
          <w:tcPr>
            <w:tcW w:type="dxa" w:w="1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14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8</w:t>
            </w:r>
          </w:p>
        </w:tc>
        <w:tc>
          <w:tcPr>
            <w:tcW w:type="dxa" w:w="196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38.5%</w:t>
            </w:r>
          </w:p>
        </w:tc>
      </w:tr>
    </w:tbl>
    <w:p>
      <w:pPr>
        <w:spacing w:after="60" w:before="60"/>
      </w:pPr>
      <w:r>
        <w:t xml:space="preserve"/>
      </w:r>
    </w:p>
    <w:p>
      <w:pPr>
        <w:spacing w:after="60" w:before="60"/>
      </w:pPr>
      <w:r>
        <w:rPr>
          <w:rFonts w:ascii="Arial" w:cs="Arial" w:eastAsia="Arial" w:hAnsi="Arial"/>
          <w:b w:val="false"/>
          <w:bCs w:val="false"/>
          <w:color w:val="000000"/>
          <w:sz w:val="20"/>
          <w:szCs w:val="20"/>
        </w:rPr>
        <w:t xml:space="preserve">本月共处理风险项8项，其中高风险项完成1项（占比25.0%），中风险项完成3项（占比42.9%），低风险项完成1项（占比50.0%）。高风险项整改进度仍需重点关注。</w:t>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二、本月整改完成情况</w:t>
      </w:r>
    </w:p>
    <w:p>
      <w:pPr>
        <w:pStyle w:val="Heading2"/>
        <w:spacing w:after="80" w:before="180"/>
      </w:pPr>
      <w:r>
        <w:rPr>
          <w:rFonts w:ascii="Arial" w:cs="Arial" w:eastAsia="Arial" w:hAnsi="Arial"/>
          <w:b/>
          <w:bCs/>
          <w:color w:val="2E75B6"/>
          <w:sz w:val="26"/>
          <w:szCs w:val="26"/>
        </w:rPr>
        <w:t xml:space="preserve">2.1 本月整改完成清单</w:t>
      </w:r>
    </w:p>
    <w:p>
      <w:pPr>
        <w:spacing w:after="60" w:before="60"/>
      </w:pPr>
      <w:r>
        <w:rPr>
          <w:rFonts w:ascii="Arial" w:cs="Arial" w:eastAsia="Arial" w:hAnsi="Arial"/>
          <w:b w:val="false"/>
          <w:bCs w:val="false"/>
          <w:color w:val="000000"/>
          <w:sz w:val="20"/>
          <w:szCs w:val="20"/>
        </w:rPr>
        <w:t xml:space="preserve">本月共有5项风险项完成整改并通过验收，具体清单如下：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900"/>
        <w:gridCol w:w="1500"/>
        <w:gridCol w:w="1400"/>
        <w:gridCol w:w="1560"/>
      </w:tblGrid>
      <w:tr>
        <w:trPr>
          <w:tblHeader/>
        </w:trP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序号</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风险项编号</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风险描述</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风险等级</w:t>
            </w:r>
          </w:p>
        </w:tc>
        <w:tc>
          <w:tcPr>
            <w:tcW w:type="dxa" w:w="1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整改措施</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完成时间</w:t>
            </w:r>
          </w:p>
        </w:tc>
        <w:tc>
          <w:tcPr>
            <w:tcW w:type="dxa" w:w="1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验收结果</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用户敏感数据在传输过程中未启用加密机制</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部署TLS1.2传输加密</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2025-03-05</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通过</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R-003</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数据库账户权限分配未遵循最小权限原则</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重新梳理并收紧账户权限</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2025-03-10</w:t>
            </w:r>
          </w:p>
        </w:tc>
        <w:tc>
          <w:tcPr>
            <w:tcW w:type="dxa" w:w="15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通过</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R-005</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数据备份未进行异地存储，存在单点故障风险</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建立同城异地备份机制</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2025-03-15</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通过</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R-008</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日志留存周期不足，部分操作日志留存仅30天</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75623"/>
                <w:sz w:val="18"/>
                <w:szCs w:val="18"/>
              </w:rPr>
              <w:t xml:space="preserve">低风险</w:t>
            </w:r>
          </w:p>
        </w:tc>
        <w:tc>
          <w:tcPr>
            <w:tcW w:type="dxa" w:w="1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延长日志留存至6个月</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2025-03-18</w:t>
            </w:r>
          </w:p>
        </w:tc>
        <w:tc>
          <w:tcPr>
            <w:tcW w:type="dxa" w:w="15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通过</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R-011</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数据脱敏规则未覆盖全部敏感字段</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扩展脱敏规则覆盖范围</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2025-03-22</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通过</w:t>
            </w:r>
          </w:p>
        </w:tc>
      </w:tr>
    </w:tbl>
    <w:p>
      <w:pPr>
        <w:spacing w:after="60" w:before="60"/>
      </w:pPr>
      <w:r>
        <w:t xml:space="preserve"/>
      </w:r>
    </w:p>
    <w:p>
      <w:pPr>
        <w:pStyle w:val="Heading2"/>
        <w:spacing w:after="80" w:before="180"/>
      </w:pPr>
      <w:r>
        <w:rPr>
          <w:rFonts w:ascii="Arial" w:cs="Arial" w:eastAsia="Arial" w:hAnsi="Arial"/>
          <w:b/>
          <w:bCs/>
          <w:color w:val="2E75B6"/>
          <w:sz w:val="26"/>
          <w:szCs w:val="26"/>
        </w:rPr>
        <w:t xml:space="preserve">2.2 本月新增风险项清单</w:t>
      </w:r>
    </w:p>
    <w:p>
      <w:pPr>
        <w:spacing w:after="60" w:before="60"/>
      </w:pPr>
      <w:r>
        <w:rPr>
          <w:rFonts w:ascii="Arial" w:cs="Arial" w:eastAsia="Arial" w:hAnsi="Arial"/>
          <w:b w:val="false"/>
          <w:bCs w:val="false"/>
          <w:color w:val="000000"/>
          <w:sz w:val="20"/>
          <w:szCs w:val="20"/>
        </w:rPr>
        <w:t xml:space="preserve">本月共新增3项风险项，均已录入追踪表并启动整改流程：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900"/>
        <w:gridCol w:w="1200"/>
        <w:gridCol w:w="1360"/>
        <w:gridCol w:w="900"/>
        <w:gridCol w:w="1000"/>
      </w:tblGrid>
      <w:tr>
        <w:trPr>
          <w:tblHeader/>
        </w:trP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序号</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风险项编号</w:t>
            </w:r>
          </w:p>
        </w:tc>
        <w:tc>
          <w:tcPr>
            <w:tcW w:type="dxa" w:w="2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风险描述</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风险等级</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发现日期</w:t>
            </w:r>
          </w:p>
        </w:tc>
        <w:tc>
          <w:tcPr>
            <w:tcW w:type="dxa" w:w="13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责任部门</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状态</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优先级</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R-014</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API接口缺乏统一的访问频率限制，存在滥用风险</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2025-03-10</w:t>
            </w:r>
          </w:p>
        </w:tc>
        <w:tc>
          <w:tcPr>
            <w:tcW w:type="dxa" w:w="1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研发部</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高</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R-015</w:t>
            </w:r>
          </w:p>
        </w:tc>
        <w:tc>
          <w:tcPr>
            <w:tcW w:type="dxa" w:w="2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移动端App未对本地缓存数据进行加密保护</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2025-03-18</w:t>
            </w:r>
          </w:p>
        </w:tc>
        <w:tc>
          <w:tcPr>
            <w:tcW w:type="dxa" w:w="13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产品部</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待分配</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中</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R-016</w:t>
            </w:r>
          </w:p>
        </w:tc>
        <w:tc>
          <w:tcPr>
            <w:tcW w:type="dxa" w:w="2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第三方SDK数据共享范围超出隐私政策声明范围</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2025-03-25</w:t>
            </w:r>
          </w:p>
        </w:tc>
        <w:tc>
          <w:tcPr>
            <w:tcW w:type="dxa" w:w="1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合规部</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评估中</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高</w:t>
            </w:r>
          </w:p>
        </w:tc>
      </w:tr>
    </w:tbl>
    <w:p>
      <w:pPr>
        <w:spacing w:after="60" w:before="60"/>
      </w:pPr>
      <w:r>
        <w:t xml:space="preserve"/>
      </w:r>
    </w:p>
    <w:p>
      <w:pPr>
        <w:spacing w:after="60" w:before="60"/>
      </w:pPr>
      <w:r>
        <w:rPr>
          <w:rFonts w:ascii="Arial" w:cs="Arial" w:eastAsia="Arial" w:hAnsi="Arial"/>
          <w:b w:val="false"/>
          <w:bCs w:val="false"/>
          <w:color w:val="595959"/>
          <w:sz w:val="20"/>
          <w:szCs w:val="20"/>
        </w:rPr>
        <w:t xml:space="preserve">新增风险项已同步纳入整改追踪表管理，将在下月报告中跟踪整改进度。</w:t>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三、本月未完成风险项分析</w:t>
      </w:r>
    </w:p>
    <w:p>
      <w:pPr>
        <w:pStyle w:val="Heading2"/>
        <w:spacing w:after="80" w:before="180"/>
      </w:pPr>
      <w:r>
        <w:rPr>
          <w:rFonts w:ascii="Arial" w:cs="Arial" w:eastAsia="Arial" w:hAnsi="Arial"/>
          <w:b/>
          <w:bCs/>
          <w:color w:val="2E75B6"/>
          <w:sz w:val="26"/>
          <w:szCs w:val="26"/>
        </w:rPr>
        <w:t xml:space="preserve">3.1 滞后风险项清单</w:t>
      </w:r>
    </w:p>
    <w:p>
      <w:pPr>
        <w:spacing w:after="60" w:before="60"/>
      </w:pPr>
      <w:r>
        <w:rPr>
          <w:rFonts w:ascii="Arial" w:cs="Arial" w:eastAsia="Arial" w:hAnsi="Arial"/>
          <w:b w:val="false"/>
          <w:bCs w:val="false"/>
          <w:color w:val="C00000"/>
          <w:sz w:val="20"/>
          <w:szCs w:val="20"/>
        </w:rPr>
        <w:t xml:space="preserve">以下5项风险项超过原定完成期限，截至报告日仍未完成整改：</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1400"/>
        <w:gridCol w:w="1200"/>
        <w:gridCol w:w="1200"/>
        <w:gridCol w:w="1760"/>
      </w:tblGrid>
      <w:tr>
        <w:trPr>
          <w:tblHeader/>
        </w:trPr>
        <w:tc>
          <w:tcPr>
            <w:tcW w:type="dxa" w:w="6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序号</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风险项编号</w:t>
            </w:r>
          </w:p>
        </w:tc>
        <w:tc>
          <w:tcPr>
            <w:tcW w:type="dxa" w:w="2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风险描述</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原定完成日期</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实际进度(%)</w:t>
            </w:r>
          </w:p>
        </w:tc>
        <w:tc>
          <w:tcPr>
            <w:tcW w:type="dxa" w:w="12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当前状态</w:t>
            </w:r>
          </w:p>
        </w:tc>
        <w:tc>
          <w:tcPr>
            <w:tcW w:type="dxa" w:w="17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滞后原因</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核心系统数据未完成分类分级标识</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2025-02-28</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分类标准修订中，等待主管部门确认</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R-004</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数据共享接口缺少事前审批流程</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2025-02-28</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7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流程设计涉及多部门协调，进展缓慢</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R-006</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生产环境数据库存在弱口令账户</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2025-03-15</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部分老旧系统改造需业务停机窗口</w:t>
            </w:r>
          </w:p>
        </w:tc>
      </w:tr>
      <w:tr>
        <w:tc>
          <w:tcPr>
            <w:tcW w:type="dxa" w:w="6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R-009</w:t>
            </w:r>
          </w:p>
        </w:tc>
        <w:tc>
          <w:tcPr>
            <w:tcW w:type="dxa" w:w="2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数据安全培训覆盖率达未达年度目标90%</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2025-03-31</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75%</w:t>
            </w:r>
          </w:p>
        </w:tc>
        <w:tc>
          <w:tcPr>
            <w:tcW w:type="dxa" w:w="12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7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Q1业务高峰期，培训计划被迫推迟</w:t>
            </w:r>
          </w:p>
        </w:tc>
      </w:tr>
      <w:tr>
        <w:tc>
          <w:tcPr>
            <w:tcW w:type="dxa" w:w="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R-012</w:t>
            </w:r>
          </w:p>
        </w:tc>
        <w:tc>
          <w:tcPr>
            <w:tcW w:type="dxa" w:w="2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隐私政策未按最新法规要求完成更新</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2025-03-20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整改中</w:t>
            </w:r>
          </w:p>
        </w:tc>
        <w:tc>
          <w:tcPr>
            <w:tcW w:type="dxa" w:w="1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法务审核意见分歧较大，反复修改</w:t>
            </w:r>
          </w:p>
        </w:tc>
      </w:tr>
    </w:tbl>
    <w:p>
      <w:pPr>
        <w:spacing w:after="60" w:before="60"/>
      </w:pPr>
      <w:r>
        <w:t xml:space="preserve"/>
      </w:r>
    </w:p>
    <w:p>
      <w:pPr>
        <w:pStyle w:val="Heading2"/>
        <w:spacing w:after="80" w:before="180"/>
      </w:pPr>
      <w:r>
        <w:rPr>
          <w:rFonts w:ascii="Arial" w:cs="Arial" w:eastAsia="Arial" w:hAnsi="Arial"/>
          <w:b/>
          <w:bCs/>
          <w:color w:val="2E75B6"/>
          <w:sz w:val="26"/>
          <w:szCs w:val="26"/>
        </w:rPr>
        <w:t xml:space="preserve">3.2 滞后原因分类统计</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rPr>
          <w:tblHeader/>
        </w:trPr>
        <w:tc>
          <w:tcPr>
            <w:tcW w:type="dxa" w:w="3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滞后原因分类</w:t>
            </w:r>
          </w:p>
        </w:tc>
        <w:tc>
          <w:tcPr>
            <w:tcW w:type="dxa" w:w="2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涉及风险项数</w:t>
            </w:r>
          </w:p>
        </w:tc>
        <w:tc>
          <w:tcPr>
            <w:tcW w:type="dxa" w:w="18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占总滞后项比例</w:t>
            </w:r>
          </w:p>
        </w:tc>
        <w:tc>
          <w:tcPr>
            <w:tcW w:type="dxa" w:w="2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主要涉及部门</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资源协调困难（业务停机窗口不足）</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运维部 / 业务部门</w:t>
            </w:r>
          </w:p>
        </w:tc>
      </w:tr>
      <w:tr>
        <w:tc>
          <w:tcPr>
            <w:tcW w:type="dxa" w:w="3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标准/流程修订未完成</w:t>
            </w:r>
          </w:p>
        </w:tc>
        <w:tc>
          <w:tcPr>
            <w:tcW w:type="dxa" w:w="2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8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25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合规部 / 法务部</w:t>
            </w:r>
          </w:p>
        </w:tc>
      </w:tr>
      <w:tr>
        <w:tc>
          <w:tcPr>
            <w:tcW w:type="dxa" w:w="3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培训计划受业务高峰期影响</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w:t>
            </w:r>
          </w:p>
        </w:tc>
        <w:tc>
          <w:tcPr>
            <w:tcW w:type="dxa" w:w="2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人力资源部</w:t>
            </w:r>
          </w:p>
        </w:tc>
      </w:tr>
    </w:tbl>
    <w:p>
      <w:pPr>
        <w:spacing w:after="60" w:before="60"/>
      </w:pPr>
      <w:r>
        <w:t xml:space="preserve"/>
      </w:r>
    </w:p>
    <w:p>
      <w:pPr>
        <w:pStyle w:val="Heading2"/>
        <w:spacing w:after="80" w:before="180"/>
      </w:pPr>
      <w:r>
        <w:rPr>
          <w:rFonts w:ascii="Arial" w:cs="Arial" w:eastAsia="Arial" w:hAnsi="Arial"/>
          <w:b/>
          <w:bCs/>
          <w:color w:val="2E75B6"/>
          <w:sz w:val="26"/>
          <w:szCs w:val="26"/>
        </w:rPr>
        <w:t xml:space="preserve">3.3 风险升级预警</w:t>
      </w:r>
    </w:p>
    <w:p>
      <w:pPr>
        <w:spacing w:after="60" w:before="60"/>
      </w:pPr>
      <w:r>
        <w:rPr>
          <w:rFonts w:ascii="Arial" w:cs="Arial" w:eastAsia="Arial" w:hAnsi="Arial"/>
          <w:b w:val="false"/>
          <w:bCs w:val="false"/>
          <w:color w:val="C00000"/>
          <w:sz w:val="20"/>
          <w:szCs w:val="20"/>
        </w:rPr>
        <w:t xml:space="preserve">以下风险项触发风险升级预警机制，建议管理层重点关注并协调资源推动整改：</w:t>
      </w:r>
    </w:p>
    <w:p>
      <w:pPr>
        <w:spacing w:after="60" w:before="60"/>
      </w:pPr>
      <w:r>
        <w:t xml:space="preserve"/>
      </w:r>
    </w:p>
    <w:p>
      <w:pPr>
        <w:pStyle w:val="ListParagraph"/>
        <w:numPr>
          <w:ilvl w:val="0"/>
          <w:numId w:val="2"/>
        </w:numPr>
        <w:spacing w:after="40" w:before="40"/>
      </w:pPr>
      <w:r>
        <w:rPr>
          <w:rFonts w:ascii="Arial" w:cs="Arial" w:eastAsia="Arial" w:hAnsi="Arial"/>
          <w:color w:val="000000"/>
          <w:sz w:val="20"/>
          <w:szCs w:val="20"/>
        </w:rPr>
        <w:t xml:space="preserve">R-002（核心系统数据分类分级标识）：已逾期约40天，阻碍多项下游安全措施推进，建议尽快完成标准确认。</w:t>
      </w:r>
    </w:p>
    <w:p>
      <w:pPr>
        <w:pStyle w:val="ListParagraph"/>
        <w:numPr>
          <w:ilvl w:val="0"/>
          <w:numId w:val="2"/>
        </w:numPr>
        <w:spacing w:after="40" w:before="40"/>
      </w:pPr>
      <w:r>
        <w:rPr>
          <w:rFonts w:ascii="Arial" w:cs="Arial" w:eastAsia="Arial" w:hAnsi="Arial"/>
          <w:color w:val="000000"/>
          <w:sz w:val="20"/>
          <w:szCs w:val="20"/>
        </w:rPr>
        <w:t xml:space="preserve">R-006（生产环境数据库弱口令）：虽进度达80%，但涉及高危漏洞，建议优先协调停机窗口完成最后整改。</w:t>
      </w:r>
    </w:p>
    <w:p>
      <w:pPr>
        <w:pStyle w:val="ListParagraph"/>
        <w:numPr>
          <w:ilvl w:val="0"/>
          <w:numId w:val="2"/>
        </w:numPr>
        <w:spacing w:after="40" w:before="40"/>
      </w:pPr>
      <w:r>
        <w:rPr>
          <w:rFonts w:ascii="Arial" w:cs="Arial" w:eastAsia="Arial" w:hAnsi="Arial"/>
          <w:color w:val="000000"/>
          <w:sz w:val="20"/>
          <w:szCs w:val="20"/>
        </w:rPr>
        <w:t xml:space="preserve">R-016（第三方SDK数据共享超出声明范围）：本月新增高风险项，涉及用户隐私合规，建议立即启动评估并暂停相关数据共享。</w:t>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四、下月整改工作计划</w:t>
      </w:r>
    </w:p>
    <w:p>
      <w:pPr>
        <w:pStyle w:val="Heading2"/>
        <w:spacing w:after="80" w:before="180"/>
      </w:pPr>
      <w:r>
        <w:rPr>
          <w:rFonts w:ascii="Arial" w:cs="Arial" w:eastAsia="Arial" w:hAnsi="Arial"/>
          <w:b/>
          <w:bCs/>
          <w:color w:val="2E75B6"/>
          <w:sz w:val="26"/>
          <w:szCs w:val="26"/>
        </w:rPr>
        <w:t xml:space="preserve">4.1 下月重点整改项（优先级最高的前5项）</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500"/>
        <w:gridCol w:w="900"/>
        <w:gridCol w:w="1400"/>
        <w:gridCol w:w="1560"/>
        <w:gridCol w:w="1000"/>
      </w:tblGrid>
      <w:tr>
        <w:trPr>
          <w:tblHeader/>
        </w:trPr>
        <w:tc>
          <w:tcPr>
            <w:tcW w:type="dxa" w:w="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序号</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风险项编号</w:t>
            </w:r>
          </w:p>
        </w:tc>
        <w:tc>
          <w:tcPr>
            <w:tcW w:type="dxa" w:w="25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风险描述</w:t>
            </w:r>
          </w:p>
        </w:tc>
        <w:tc>
          <w:tcPr>
            <w:tcW w:type="dxa" w:w="9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风险等级</w:t>
            </w:r>
          </w:p>
        </w:tc>
        <w:tc>
          <w:tcPr>
            <w:tcW w:type="dxa" w:w="14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目标完成日期</w:t>
            </w:r>
          </w:p>
        </w:tc>
        <w:tc>
          <w:tcPr>
            <w:tcW w:type="dxa" w:w="156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责任人/部门</w:t>
            </w:r>
          </w:p>
        </w:tc>
        <w:tc>
          <w:tcPr>
            <w:tcW w:type="dxa" w:w="1000"/>
            <w:gridSpan w:val="1"/>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所需资源</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R-002</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核心系统数据完成分类分级标识</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2025-04-30</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IT部 / 数据安全负责人</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分类分级工具</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R-006</w:t>
            </w:r>
          </w:p>
        </w:tc>
        <w:tc>
          <w:tcPr>
            <w:tcW w:type="dxa" w:w="2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生产环境数据库弱口令账户全部整改完成</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2025-04-15</w:t>
            </w:r>
          </w:p>
        </w:tc>
        <w:tc>
          <w:tcPr>
            <w:tcW w:type="dxa" w:w="15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运维部 / DBA团队</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停机维护窗口</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R-012</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隐私政策完成法务审核并正式发布</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2025-04-20</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合规部 / 法务部</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法务资源支持</w:t>
            </w:r>
          </w:p>
        </w:tc>
      </w:tr>
      <w:tr>
        <w:tc>
          <w:tcPr>
            <w:tcW w:type="dxa" w:w="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R-014</w:t>
            </w:r>
          </w:p>
        </w:tc>
        <w:tc>
          <w:tcPr>
            <w:tcW w:type="dxa" w:w="25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API接口访问频率限制功能上线</w:t>
            </w:r>
          </w:p>
        </w:tc>
        <w:tc>
          <w:tcPr>
            <w:tcW w:type="dxa" w:w="9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FF6600"/>
                <w:sz w:val="18"/>
                <w:szCs w:val="18"/>
              </w:rPr>
              <w:t xml:space="preserve">中风险</w:t>
            </w:r>
          </w:p>
        </w:tc>
        <w:tc>
          <w:tcPr>
            <w:tcW w:type="dxa" w:w="14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2025-04-25</w:t>
            </w:r>
          </w:p>
        </w:tc>
        <w:tc>
          <w:tcPr>
            <w:tcW w:type="dxa" w:w="15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研发部</w:t>
            </w:r>
          </w:p>
        </w:tc>
        <w:tc>
          <w:tcPr>
            <w:tcW w:type="dxa" w:w="100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开发人力</w:t>
            </w:r>
          </w:p>
        </w:tc>
      </w:tr>
      <w:tr>
        <w:tc>
          <w:tcPr>
            <w:tcW w:type="dxa" w:w="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R-016</w:t>
            </w:r>
          </w:p>
        </w:tc>
        <w:tc>
          <w:tcPr>
            <w:tcW w:type="dxa" w:w="2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完成第三方SDK数据共享范围评估报告</w:t>
            </w:r>
          </w:p>
        </w:tc>
        <w:tc>
          <w:tcPr>
            <w:tcW w:type="dxa" w:w="9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高风险</w:t>
            </w:r>
          </w:p>
        </w:tc>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2025-04-30</w:t>
            </w:r>
          </w:p>
        </w:tc>
        <w:tc>
          <w:tcPr>
            <w:tcW w:type="dxa" w:w="1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合规部 / 安全团队</w:t>
            </w:r>
          </w:p>
        </w:tc>
        <w:tc>
          <w:tcPr>
            <w:tcW w:type="dxa" w:w="1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安全评估工具</w:t>
            </w:r>
          </w:p>
        </w:tc>
      </w:tr>
    </w:tbl>
    <w:p>
      <w:pPr>
        <w:spacing w:after="60" w:before="60"/>
      </w:pPr>
      <w:r>
        <w:t xml:space="preserve"/>
      </w:r>
    </w:p>
    <w:p>
      <w:pPr>
        <w:pStyle w:val="Heading2"/>
        <w:spacing w:after="80" w:before="180"/>
      </w:pPr>
      <w:r>
        <w:rPr>
          <w:rFonts w:ascii="Arial" w:cs="Arial" w:eastAsia="Arial" w:hAnsi="Arial"/>
          <w:b/>
          <w:bCs/>
          <w:color w:val="2E75B6"/>
          <w:sz w:val="26"/>
          <w:szCs w:val="26"/>
        </w:rPr>
        <w:t xml:space="preserve">4.2 预计完成目标</w:t>
      </w:r>
    </w:p>
    <w:p>
      <w:pPr>
        <w:pStyle w:val="ListParagraph"/>
        <w:numPr>
          <w:ilvl w:val="0"/>
          <w:numId w:val="2"/>
        </w:numPr>
        <w:spacing w:after="40" w:before="40"/>
      </w:pPr>
      <w:r>
        <w:rPr>
          <w:rFonts w:ascii="Arial" w:cs="Arial" w:eastAsia="Arial" w:hAnsi="Arial"/>
          <w:color w:val="000000"/>
          <w:sz w:val="20"/>
          <w:szCs w:val="20"/>
        </w:rPr>
        <w:t xml:space="preserve">完成R-002、R-006两项高风险项整改，消除生产环境高危漏洞。</w:t>
      </w:r>
    </w:p>
    <w:p>
      <w:pPr>
        <w:pStyle w:val="ListParagraph"/>
        <w:numPr>
          <w:ilvl w:val="0"/>
          <w:numId w:val="2"/>
        </w:numPr>
        <w:spacing w:after="40" w:before="40"/>
      </w:pPr>
      <w:r>
        <w:rPr>
          <w:rFonts w:ascii="Arial" w:cs="Arial" w:eastAsia="Arial" w:hAnsi="Arial"/>
          <w:color w:val="000000"/>
          <w:sz w:val="20"/>
          <w:szCs w:val="20"/>
        </w:rPr>
        <w:t xml:space="preserve">推动R-012隐私政策完成法务审核并正式发布。</w:t>
      </w:r>
    </w:p>
    <w:p>
      <w:pPr>
        <w:pStyle w:val="ListParagraph"/>
        <w:numPr>
          <w:ilvl w:val="0"/>
          <w:numId w:val="2"/>
        </w:numPr>
        <w:spacing w:after="40" w:before="40"/>
      </w:pPr>
      <w:r>
        <w:rPr>
          <w:rFonts w:ascii="Arial" w:cs="Arial" w:eastAsia="Arial" w:hAnsi="Arial"/>
          <w:color w:val="000000"/>
          <w:sz w:val="20"/>
          <w:szCs w:val="20"/>
        </w:rPr>
        <w:t xml:space="preserve">完成R-014 API频率限制功能开发与测试，4月底前上线。</w:t>
      </w:r>
    </w:p>
    <w:p>
      <w:pPr>
        <w:pStyle w:val="ListParagraph"/>
        <w:numPr>
          <w:ilvl w:val="0"/>
          <w:numId w:val="2"/>
        </w:numPr>
        <w:spacing w:after="40" w:before="40"/>
      </w:pPr>
      <w:r>
        <w:rPr>
          <w:rFonts w:ascii="Arial" w:cs="Arial" w:eastAsia="Arial" w:hAnsi="Arial"/>
          <w:color w:val="000000"/>
          <w:sz w:val="20"/>
          <w:szCs w:val="20"/>
        </w:rPr>
        <w:t xml:space="preserve">完成R-016第三方SDK数据共享范围评估，给出整改或停用建议。</w:t>
      </w:r>
    </w:p>
    <w:p>
      <w:pPr>
        <w:pStyle w:val="ListParagraph"/>
        <w:numPr>
          <w:ilvl w:val="0"/>
          <w:numId w:val="2"/>
        </w:numPr>
        <w:spacing w:after="40" w:before="40"/>
      </w:pPr>
      <w:r>
        <w:rPr>
          <w:rFonts w:ascii="Arial" w:cs="Arial" w:eastAsia="Arial" w:hAnsi="Arial"/>
          <w:color w:val="000000"/>
          <w:sz w:val="20"/>
          <w:szCs w:val="20"/>
        </w:rPr>
        <w:t xml:space="preserve">本月整体完成率目标：突破50%。</w:t>
      </w:r>
    </w:p>
    <w:p>
      <w:pPr>
        <w:spacing w:after="60" w:before="60"/>
      </w:pPr>
      <w:r>
        <w:t xml:space="preserve"/>
      </w:r>
    </w:p>
    <w:p>
      <w:pPr>
        <w:pStyle w:val="Heading2"/>
        <w:spacing w:after="80" w:before="180"/>
      </w:pPr>
      <w:r>
        <w:rPr>
          <w:rFonts w:ascii="Arial" w:cs="Arial" w:eastAsia="Arial" w:hAnsi="Arial"/>
          <w:b/>
          <w:bCs/>
          <w:color w:val="2E75B6"/>
          <w:sz w:val="26"/>
          <w:szCs w:val="26"/>
        </w:rPr>
        <w:t xml:space="preserve">4.3 需要协调资源</w:t>
      </w:r>
    </w:p>
    <w:p>
      <w:pPr>
        <w:pStyle w:val="ListParagraph"/>
        <w:numPr>
          <w:ilvl w:val="0"/>
          <w:numId w:val="2"/>
        </w:numPr>
        <w:spacing w:after="40" w:before="40"/>
      </w:pPr>
      <w:r>
        <w:rPr>
          <w:rFonts w:ascii="Arial" w:cs="Arial" w:eastAsia="Arial" w:hAnsi="Arial"/>
          <w:color w:val="000000"/>
          <w:sz w:val="20"/>
          <w:szCs w:val="20"/>
        </w:rPr>
        <w:t xml:space="preserve">运维部：协调R-006整改所需的业务停机维护窗口（建议4月第二周）。</w:t>
      </w:r>
    </w:p>
    <w:p>
      <w:pPr>
        <w:pStyle w:val="ListParagraph"/>
        <w:numPr>
          <w:ilvl w:val="0"/>
          <w:numId w:val="2"/>
        </w:numPr>
        <w:spacing w:after="40" w:before="40"/>
      </w:pPr>
      <w:r>
        <w:rPr>
          <w:rFonts w:ascii="Arial" w:cs="Arial" w:eastAsia="Arial" w:hAnsi="Arial"/>
          <w:color w:val="000000"/>
          <w:sz w:val="20"/>
          <w:szCs w:val="20"/>
        </w:rPr>
        <w:t xml:space="preserve">法务部：加快R-012隐私政策审核，预期需2轮审核，请4月15日前完成初稿确认。</w:t>
      </w:r>
    </w:p>
    <w:p>
      <w:pPr>
        <w:pStyle w:val="ListParagraph"/>
        <w:numPr>
          <w:ilvl w:val="0"/>
          <w:numId w:val="2"/>
        </w:numPr>
        <w:spacing w:after="40" w:before="40"/>
      </w:pPr>
      <w:r>
        <w:rPr>
          <w:rFonts w:ascii="Arial" w:cs="Arial" w:eastAsia="Arial" w:hAnsi="Arial"/>
          <w:color w:val="000000"/>
          <w:sz w:val="20"/>
          <w:szCs w:val="20"/>
        </w:rPr>
        <w:t xml:space="preserve">研发部：R-014 API限频功能开发，预计需2人/周工作量。</w:t>
      </w:r>
    </w:p>
    <w:p>
      <w:pPr>
        <w:pStyle w:val="ListParagraph"/>
        <w:numPr>
          <w:ilvl w:val="0"/>
          <w:numId w:val="2"/>
        </w:numPr>
        <w:spacing w:after="40" w:before="40"/>
      </w:pPr>
      <w:r>
        <w:rPr>
          <w:rFonts w:ascii="Arial" w:cs="Arial" w:eastAsia="Arial" w:hAnsi="Arial"/>
          <w:color w:val="000000"/>
          <w:sz w:val="20"/>
          <w:szCs w:val="20"/>
        </w:rPr>
        <w:t xml:space="preserve">合规部：R-016第三方SDK评估，需协调外部供应商提供SDK数据流向说明。</w:t>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五、数据来源说明</w:t>
      </w:r>
    </w:p>
    <w:p>
      <w:pPr>
        <w:spacing w:after="60" w:before="60"/>
        <w:ind w:firstLine="240"/>
      </w:pPr>
      <w:r>
        <w:rPr>
          <w:rFonts w:ascii="Arial" w:cs="Arial" w:eastAsia="Arial" w:hAnsi="Arial"/>
          <w:b w:val="false"/>
          <w:bCs w:val="false"/>
          <w:color w:val="000000"/>
          <w:sz w:val="20"/>
          <w:szCs w:val="20"/>
        </w:rPr>
        <w:t xml:space="preserve">本报告数据来源于《数据安全风险整改追踪表.xlsx》，统计周期为2025年3月1日至2025年3月31日。</w:t>
      </w:r>
    </w:p>
    <w:p>
      <w:pPr>
        <w:spacing w:after="60" w:before="60"/>
        <w:ind w:firstLine="240"/>
      </w:pPr>
      <w:r>
        <w:rPr>
          <w:rFonts w:ascii="Arial" w:cs="Arial" w:eastAsia="Arial" w:hAnsi="Arial"/>
          <w:b w:val="false"/>
          <w:bCs w:val="false"/>
          <w:color w:val="000000"/>
          <w:sz w:val="20"/>
          <w:szCs w:val="20"/>
        </w:rPr>
        <w:t xml:space="preserve">数据安全风险整改追踪表为合规与风控部用于持续跟踪企业数据安全风险项整改状态的内部管理工具，包含风险项编号、风险描述、风险等级、整改措施、责任人、期限及完成状态等字段。</w:t>
      </w:r>
    </w:p>
    <w:p>
      <w:pPr>
        <w:spacing w:after="60" w:before="60"/>
        <w:ind w:firstLine="240"/>
      </w:pPr>
      <w:r>
        <w:rPr>
          <w:rFonts w:ascii="Arial" w:cs="Arial" w:eastAsia="Arial" w:hAnsi="Arial"/>
          <w:b w:val="false"/>
          <w:bCs w:val="false"/>
          <w:color w:val="000000"/>
          <w:sz w:val="20"/>
          <w:szCs w:val="20"/>
        </w:rPr>
        <w:t xml:space="preserve">本报告由合规与风控部数据安全整改工作组编制，如有疑问请联系：合规与风控部 / 数据安全整改工作组。</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编制部门</w:t>
            </w:r>
          </w:p>
        </w:tc>
        <w:tc>
          <w:tcPr>
            <w:tcW w:type="dxa" w:w="6360"/>
            <w:gridSpan w:val="1"/>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合规与风控部</w:t>
            </w:r>
          </w:p>
        </w:tc>
      </w:tr>
      <w:tr>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统计截止日期</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2025年3月31日</w:t>
            </w:r>
          </w:p>
        </w:tc>
      </w:tr>
      <w:tr>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报告生成日期</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2025年4月8日</w:t>
            </w:r>
          </w:p>
        </w:tc>
      </w:tr>
      <w:tr>
        <w:tc>
          <w:tcPr>
            <w:tcW w:type="dxa" w:w="3000"/>
            <w:gridSpan w:val="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文件密级</w:t>
            </w:r>
          </w:p>
        </w:tc>
        <w:tc>
          <w:tcPr>
            <w:tcW w:type="dxa" w:w="6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内部文件</w:t>
            </w:r>
          </w:p>
        </w:tc>
      </w:tr>
    </w:tbl>
    <w:p>
      <w:pPr>
        <w:spacing w:after="240" w:before="240"/>
      </w:pPr>
      <w:r>
        <w:t xml:space="preserve"/>
      </w:r>
    </w:p>
    <w:p>
      <w:pPr>
        <w:pBdr>
          <w:top w:val="single" w:color="2E75B6" w:sz="4" w:space="6"/>
        </w:pBdr>
        <w:spacing w:before="120"/>
        <w:jc w:val="center"/>
      </w:pPr>
      <w:r>
        <w:rPr>
          <w:rFonts w:ascii="Arial" w:cs="Arial" w:eastAsia="Arial" w:hAnsi="Arial"/>
          <w:i/>
          <w:iCs/>
          <w:color w:val="595959"/>
          <w:sz w:val="20"/>
          <w:szCs w:val="20"/>
        </w:rPr>
        <w:t xml:space="preserve">— 报告结束 —</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第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页 / 共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jc w:val="right"/>
    </w:pPr>
    <w:r>
      <w:rPr>
        <w:rFonts w:ascii="Arial" w:cs="Arial" w:eastAsia="Arial" w:hAnsi="Arial"/>
        <w:color w:val="595959"/>
        <w:sz w:val="16"/>
        <w:szCs w:val="16"/>
      </w:rPr>
      <w:t xml:space="preserve">数据安全风险整改进度月度汇总报告  |  合规与风控部  |  2025年3月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2026-04-07T17:43:06.024Z</dcterms:created>
  <dcterms:modified xsi:type="dcterms:W3CDTF">2026-04-07T17:43:06.024Z</dcterms:modified>
</cp:coreProperties>
</file>

<file path=docProps/custom.xml><?xml version="1.0" encoding="utf-8"?>
<Properties xmlns="http://schemas.openxmlformats.org/officeDocument/2006/custom-properties" xmlns:vt="http://schemas.openxmlformats.org/officeDocument/2006/docPropsVTypes"/>
</file>