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A42" w:rsidRPr="00F14A42" w:rsidRDefault="00F14A42" w:rsidP="00F14A42">
      <w:pPr>
        <w:spacing w:line="360" w:lineRule="auto"/>
        <w:jc w:val="center"/>
        <w:rPr>
          <w:b/>
          <w:color w:val="000000" w:themeColor="text1"/>
        </w:rPr>
      </w:pPr>
      <w:bookmarkStart w:id="0" w:name="_Toc375037915"/>
      <w:r w:rsidRPr="00F14A42">
        <w:rPr>
          <w:b/>
          <w:color w:val="000000" w:themeColor="text1"/>
        </w:rPr>
        <w:t>SVEUČILIŠTE U ZAGREBU</w:t>
      </w:r>
    </w:p>
    <w:p w:rsidR="00F14A42" w:rsidRPr="00F14A42" w:rsidRDefault="00F14A42" w:rsidP="00F14A42">
      <w:pPr>
        <w:spacing w:line="360" w:lineRule="auto"/>
        <w:jc w:val="center"/>
        <w:rPr>
          <w:b/>
          <w:color w:val="000000" w:themeColor="text1"/>
        </w:rPr>
      </w:pPr>
      <w:r w:rsidRPr="00F14A42">
        <w:rPr>
          <w:b/>
          <w:color w:val="000000" w:themeColor="text1"/>
        </w:rPr>
        <w:t>FAKULTET ORGANIZACIJE I INFORMATIKE</w:t>
      </w:r>
    </w:p>
    <w:p w:rsidR="00F14A42" w:rsidRPr="00F14A42" w:rsidRDefault="00F14A42" w:rsidP="00F14A42">
      <w:pPr>
        <w:spacing w:line="360" w:lineRule="auto"/>
        <w:jc w:val="center"/>
        <w:rPr>
          <w:b/>
          <w:color w:val="000000" w:themeColor="text1"/>
        </w:rPr>
      </w:pPr>
      <w:r w:rsidRPr="00F14A42">
        <w:rPr>
          <w:b/>
          <w:color w:val="000000" w:themeColor="text1"/>
        </w:rPr>
        <w:t>VARAŽDIN</w:t>
      </w:r>
    </w:p>
    <w:p w:rsidR="00F14A42" w:rsidRDefault="00F14A42" w:rsidP="00F14A42">
      <w:pPr>
        <w:spacing w:line="360" w:lineRule="auto"/>
        <w:jc w:val="center"/>
        <w:rPr>
          <w:color w:val="000000" w:themeColor="text1"/>
        </w:rPr>
      </w:pPr>
    </w:p>
    <w:p w:rsidR="007212C9" w:rsidRDefault="007212C9" w:rsidP="00F14A42">
      <w:pPr>
        <w:spacing w:line="360" w:lineRule="auto"/>
        <w:jc w:val="center"/>
        <w:rPr>
          <w:color w:val="000000" w:themeColor="text1"/>
        </w:rPr>
      </w:pPr>
    </w:p>
    <w:p w:rsidR="007212C9" w:rsidRDefault="007212C9" w:rsidP="00F14A42">
      <w:pPr>
        <w:spacing w:line="360" w:lineRule="auto"/>
        <w:jc w:val="center"/>
        <w:rPr>
          <w:color w:val="000000" w:themeColor="text1"/>
        </w:rPr>
      </w:pPr>
    </w:p>
    <w:p w:rsidR="007212C9" w:rsidRDefault="007212C9"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Pr="00F14A42" w:rsidRDefault="00F14A42" w:rsidP="00F14A42">
      <w:pPr>
        <w:spacing w:line="360" w:lineRule="auto"/>
        <w:rPr>
          <w:b/>
          <w:color w:val="000000" w:themeColor="text1"/>
          <w:sz w:val="28"/>
        </w:rPr>
      </w:pPr>
      <w:r>
        <w:rPr>
          <w:b/>
          <w:color w:val="000000" w:themeColor="text1"/>
          <w:sz w:val="28"/>
        </w:rPr>
        <w:t>Marko Momčilović</w:t>
      </w: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7212C9" w:rsidRDefault="007212C9"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Pr="007212C9" w:rsidRDefault="000B01D3" w:rsidP="000B01D3">
      <w:pPr>
        <w:spacing w:line="360" w:lineRule="auto"/>
        <w:jc w:val="center"/>
        <w:rPr>
          <w:rFonts w:ascii="Arial" w:hAnsi="Arial" w:cs="Arial"/>
          <w:b/>
          <w:color w:val="000000" w:themeColor="text1"/>
          <w:sz w:val="36"/>
        </w:rPr>
      </w:pPr>
      <w:r w:rsidRPr="007212C9">
        <w:rPr>
          <w:rFonts w:ascii="Arial" w:hAnsi="Arial" w:cs="Arial"/>
          <w:b/>
          <w:color w:val="000000" w:themeColor="text1"/>
          <w:sz w:val="36"/>
        </w:rPr>
        <w:t>ISO 27001</w:t>
      </w:r>
    </w:p>
    <w:p w:rsidR="00F14A42" w:rsidRDefault="00F14A42" w:rsidP="00F14A42">
      <w:pPr>
        <w:spacing w:line="360" w:lineRule="auto"/>
        <w:jc w:val="center"/>
        <w:rPr>
          <w:color w:val="000000" w:themeColor="text1"/>
        </w:rPr>
      </w:pPr>
      <w:r>
        <w:rPr>
          <w:color w:val="000000" w:themeColor="text1"/>
        </w:rPr>
        <w:t>SIS KNJIGA</w:t>
      </w: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pPr>
    </w:p>
    <w:p w:rsidR="00F14A42" w:rsidRDefault="00F14A42" w:rsidP="00F14A42">
      <w:pPr>
        <w:spacing w:line="360" w:lineRule="auto"/>
        <w:jc w:val="center"/>
        <w:rPr>
          <w:color w:val="000000" w:themeColor="text1"/>
        </w:rPr>
        <w:sectPr w:rsidR="00F14A42" w:rsidSect="00F55F07">
          <w:footerReference w:type="default" r:id="rId9"/>
          <w:pgSz w:w="11906" w:h="16838"/>
          <w:pgMar w:top="1417" w:right="1417" w:bottom="1417" w:left="1417" w:header="708" w:footer="708" w:gutter="0"/>
          <w:cols w:space="708"/>
          <w:titlePg/>
          <w:docGrid w:linePitch="360"/>
        </w:sectPr>
      </w:pPr>
      <w:r>
        <w:rPr>
          <w:color w:val="000000" w:themeColor="text1"/>
        </w:rPr>
        <w:t>Varaždin, siječanj 2014.</w:t>
      </w:r>
    </w:p>
    <w:sdt>
      <w:sdtPr>
        <w:rPr>
          <w:rFonts w:asciiTheme="minorHAnsi" w:eastAsiaTheme="minorHAnsi" w:hAnsiTheme="minorHAnsi" w:cstheme="minorBidi"/>
          <w:b w:val="0"/>
          <w:bCs w:val="0"/>
          <w:color w:val="auto"/>
          <w:sz w:val="22"/>
          <w:szCs w:val="22"/>
        </w:rPr>
        <w:id w:val="-1937125883"/>
        <w:docPartObj>
          <w:docPartGallery w:val="Table of Contents"/>
          <w:docPartUnique/>
        </w:docPartObj>
      </w:sdtPr>
      <w:sdtEndPr>
        <w:rPr>
          <w:rFonts w:ascii="Times New Roman" w:hAnsi="Times New Roman" w:cs="Times New Roman"/>
          <w:noProof/>
          <w:sz w:val="24"/>
          <w:szCs w:val="24"/>
          <w:lang w:val="hr-HR"/>
        </w:rPr>
      </w:sdtEndPr>
      <w:sdtContent>
        <w:p w:rsidR="00C40E1F" w:rsidRPr="007212C9" w:rsidRDefault="00C40E1F" w:rsidP="007212C9">
          <w:pPr>
            <w:pStyle w:val="TOCHeading"/>
            <w:spacing w:line="480" w:lineRule="auto"/>
            <w:jc w:val="center"/>
            <w:rPr>
              <w:rFonts w:ascii="Arial" w:hAnsi="Arial" w:cs="Arial"/>
              <w:color w:val="000000" w:themeColor="text1"/>
              <w:sz w:val="32"/>
            </w:rPr>
          </w:pPr>
          <w:r w:rsidRPr="007212C9">
            <w:rPr>
              <w:rFonts w:ascii="Arial" w:hAnsi="Arial" w:cs="Arial"/>
              <w:color w:val="000000" w:themeColor="text1"/>
              <w:sz w:val="32"/>
            </w:rPr>
            <w:t>Sadržaj</w:t>
          </w:r>
        </w:p>
        <w:p w:rsidR="00307E64" w:rsidRDefault="00C40E1F">
          <w:pPr>
            <w:pStyle w:val="TOC1"/>
            <w:tabs>
              <w:tab w:val="right" w:leader="dot" w:pos="9062"/>
            </w:tabs>
            <w:rPr>
              <w:rFonts w:eastAsiaTheme="minorEastAsia"/>
              <w:noProof/>
              <w:lang w:eastAsia="hr-HR"/>
            </w:rPr>
          </w:pPr>
          <w:r w:rsidRPr="00497D5A">
            <w:fldChar w:fldCharType="begin"/>
          </w:r>
          <w:r w:rsidRPr="00497D5A">
            <w:instrText xml:space="preserve"> TOC \o "1-3" \h \z \u </w:instrText>
          </w:r>
          <w:r w:rsidRPr="00497D5A">
            <w:fldChar w:fldCharType="separate"/>
          </w:r>
          <w:hyperlink w:anchor="_Toc377039881" w:history="1">
            <w:r w:rsidR="00307E64" w:rsidRPr="00C71C97">
              <w:rPr>
                <w:rStyle w:val="Hyperlink"/>
                <w:noProof/>
              </w:rPr>
              <w:t>1.Uvod</w:t>
            </w:r>
            <w:r w:rsidR="00307E64">
              <w:rPr>
                <w:noProof/>
                <w:webHidden/>
              </w:rPr>
              <w:tab/>
            </w:r>
            <w:r w:rsidR="00307E64">
              <w:rPr>
                <w:noProof/>
                <w:webHidden/>
              </w:rPr>
              <w:fldChar w:fldCharType="begin"/>
            </w:r>
            <w:r w:rsidR="00307E64">
              <w:rPr>
                <w:noProof/>
                <w:webHidden/>
              </w:rPr>
              <w:instrText xml:space="preserve"> PAGEREF _Toc377039881 \h </w:instrText>
            </w:r>
            <w:r w:rsidR="00307E64">
              <w:rPr>
                <w:noProof/>
                <w:webHidden/>
              </w:rPr>
            </w:r>
            <w:r w:rsidR="00307E64">
              <w:rPr>
                <w:noProof/>
                <w:webHidden/>
              </w:rPr>
              <w:fldChar w:fldCharType="separate"/>
            </w:r>
            <w:r w:rsidR="00307E64">
              <w:rPr>
                <w:noProof/>
                <w:webHidden/>
              </w:rPr>
              <w:t>1</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82" w:history="1">
            <w:r w:rsidR="00307E64" w:rsidRPr="00C71C97">
              <w:rPr>
                <w:rStyle w:val="Hyperlink"/>
                <w:noProof/>
              </w:rPr>
              <w:t>2.Povijest norme ISO/IEC 27001:2005</w:t>
            </w:r>
            <w:r w:rsidR="00307E64">
              <w:rPr>
                <w:noProof/>
                <w:webHidden/>
              </w:rPr>
              <w:tab/>
            </w:r>
            <w:r w:rsidR="00307E64">
              <w:rPr>
                <w:noProof/>
                <w:webHidden/>
              </w:rPr>
              <w:fldChar w:fldCharType="begin"/>
            </w:r>
            <w:r w:rsidR="00307E64">
              <w:rPr>
                <w:noProof/>
                <w:webHidden/>
              </w:rPr>
              <w:instrText xml:space="preserve"> PAGEREF _Toc377039882 \h </w:instrText>
            </w:r>
            <w:r w:rsidR="00307E64">
              <w:rPr>
                <w:noProof/>
                <w:webHidden/>
              </w:rPr>
            </w:r>
            <w:r w:rsidR="00307E64">
              <w:rPr>
                <w:noProof/>
                <w:webHidden/>
              </w:rPr>
              <w:fldChar w:fldCharType="separate"/>
            </w:r>
            <w:r w:rsidR="00307E64">
              <w:rPr>
                <w:noProof/>
                <w:webHidden/>
              </w:rPr>
              <w:t>2</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83" w:history="1">
            <w:r w:rsidR="00307E64" w:rsidRPr="00C71C97">
              <w:rPr>
                <w:rStyle w:val="Hyperlink"/>
                <w:noProof/>
              </w:rPr>
              <w:t>3.Procesni pristup</w:t>
            </w:r>
            <w:r w:rsidR="00307E64">
              <w:rPr>
                <w:noProof/>
                <w:webHidden/>
              </w:rPr>
              <w:tab/>
            </w:r>
            <w:r w:rsidR="00307E64">
              <w:rPr>
                <w:noProof/>
                <w:webHidden/>
              </w:rPr>
              <w:fldChar w:fldCharType="begin"/>
            </w:r>
            <w:r w:rsidR="00307E64">
              <w:rPr>
                <w:noProof/>
                <w:webHidden/>
              </w:rPr>
              <w:instrText xml:space="preserve"> PAGEREF _Toc377039883 \h </w:instrText>
            </w:r>
            <w:r w:rsidR="00307E64">
              <w:rPr>
                <w:noProof/>
                <w:webHidden/>
              </w:rPr>
            </w:r>
            <w:r w:rsidR="00307E64">
              <w:rPr>
                <w:noProof/>
                <w:webHidden/>
              </w:rPr>
              <w:fldChar w:fldCharType="separate"/>
            </w:r>
            <w:r w:rsidR="00307E64">
              <w:rPr>
                <w:noProof/>
                <w:webHidden/>
              </w:rPr>
              <w:t>3</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84" w:history="1">
            <w:r w:rsidR="00307E64" w:rsidRPr="00C71C97">
              <w:rPr>
                <w:rStyle w:val="Hyperlink"/>
                <w:noProof/>
              </w:rPr>
              <w:t>4.Terminologija</w:t>
            </w:r>
            <w:r w:rsidR="00307E64">
              <w:rPr>
                <w:noProof/>
                <w:webHidden/>
              </w:rPr>
              <w:tab/>
            </w:r>
            <w:r w:rsidR="00307E64">
              <w:rPr>
                <w:noProof/>
                <w:webHidden/>
              </w:rPr>
              <w:fldChar w:fldCharType="begin"/>
            </w:r>
            <w:r w:rsidR="00307E64">
              <w:rPr>
                <w:noProof/>
                <w:webHidden/>
              </w:rPr>
              <w:instrText xml:space="preserve"> PAGEREF _Toc377039884 \h </w:instrText>
            </w:r>
            <w:r w:rsidR="00307E64">
              <w:rPr>
                <w:noProof/>
                <w:webHidden/>
              </w:rPr>
            </w:r>
            <w:r w:rsidR="00307E64">
              <w:rPr>
                <w:noProof/>
                <w:webHidden/>
              </w:rPr>
              <w:fldChar w:fldCharType="separate"/>
            </w:r>
            <w:r w:rsidR="00307E64">
              <w:rPr>
                <w:noProof/>
                <w:webHidden/>
              </w:rPr>
              <w:t>5</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85" w:history="1">
            <w:r w:rsidR="00307E64" w:rsidRPr="00C71C97">
              <w:rPr>
                <w:rStyle w:val="Hyperlink"/>
                <w:noProof/>
              </w:rPr>
              <w:t>5.ISMS</w:t>
            </w:r>
            <w:r w:rsidR="00307E64">
              <w:rPr>
                <w:noProof/>
                <w:webHidden/>
              </w:rPr>
              <w:tab/>
            </w:r>
            <w:r w:rsidR="00307E64">
              <w:rPr>
                <w:noProof/>
                <w:webHidden/>
              </w:rPr>
              <w:fldChar w:fldCharType="begin"/>
            </w:r>
            <w:r w:rsidR="00307E64">
              <w:rPr>
                <w:noProof/>
                <w:webHidden/>
              </w:rPr>
              <w:instrText xml:space="preserve"> PAGEREF _Toc377039885 \h </w:instrText>
            </w:r>
            <w:r w:rsidR="00307E64">
              <w:rPr>
                <w:noProof/>
                <w:webHidden/>
              </w:rPr>
            </w:r>
            <w:r w:rsidR="00307E64">
              <w:rPr>
                <w:noProof/>
                <w:webHidden/>
              </w:rPr>
              <w:fldChar w:fldCharType="separate"/>
            </w:r>
            <w:r w:rsidR="00307E64">
              <w:rPr>
                <w:noProof/>
                <w:webHidden/>
              </w:rPr>
              <w:t>7</w:t>
            </w:r>
            <w:r w:rsidR="00307E64">
              <w:rPr>
                <w:noProof/>
                <w:webHidden/>
              </w:rPr>
              <w:fldChar w:fldCharType="end"/>
            </w:r>
          </w:hyperlink>
        </w:p>
        <w:p w:rsidR="00307E64" w:rsidRDefault="004D1B2F">
          <w:pPr>
            <w:pStyle w:val="TOC2"/>
            <w:tabs>
              <w:tab w:val="right" w:leader="dot" w:pos="9062"/>
            </w:tabs>
            <w:rPr>
              <w:rFonts w:eastAsiaTheme="minorEastAsia"/>
              <w:noProof/>
              <w:lang w:eastAsia="hr-HR"/>
            </w:rPr>
          </w:pPr>
          <w:hyperlink w:anchor="_Toc377039886" w:history="1">
            <w:r w:rsidR="00307E64" w:rsidRPr="00C71C97">
              <w:rPr>
                <w:rStyle w:val="Hyperlink"/>
                <w:noProof/>
              </w:rPr>
              <w:t>5.1.Opći zahtjevi</w:t>
            </w:r>
            <w:r w:rsidR="00307E64">
              <w:rPr>
                <w:noProof/>
                <w:webHidden/>
              </w:rPr>
              <w:tab/>
            </w:r>
            <w:r w:rsidR="00307E64">
              <w:rPr>
                <w:noProof/>
                <w:webHidden/>
              </w:rPr>
              <w:fldChar w:fldCharType="begin"/>
            </w:r>
            <w:r w:rsidR="00307E64">
              <w:rPr>
                <w:noProof/>
                <w:webHidden/>
              </w:rPr>
              <w:instrText xml:space="preserve"> PAGEREF _Toc377039886 \h </w:instrText>
            </w:r>
            <w:r w:rsidR="00307E64">
              <w:rPr>
                <w:noProof/>
                <w:webHidden/>
              </w:rPr>
            </w:r>
            <w:r w:rsidR="00307E64">
              <w:rPr>
                <w:noProof/>
                <w:webHidden/>
              </w:rPr>
              <w:fldChar w:fldCharType="separate"/>
            </w:r>
            <w:r w:rsidR="00307E64">
              <w:rPr>
                <w:noProof/>
                <w:webHidden/>
              </w:rPr>
              <w:t>7</w:t>
            </w:r>
            <w:r w:rsidR="00307E64">
              <w:rPr>
                <w:noProof/>
                <w:webHidden/>
              </w:rPr>
              <w:fldChar w:fldCharType="end"/>
            </w:r>
          </w:hyperlink>
        </w:p>
        <w:p w:rsidR="00307E64" w:rsidRDefault="004D1B2F">
          <w:pPr>
            <w:pStyle w:val="TOC2"/>
            <w:tabs>
              <w:tab w:val="right" w:leader="dot" w:pos="9062"/>
            </w:tabs>
            <w:rPr>
              <w:rFonts w:eastAsiaTheme="minorEastAsia"/>
              <w:noProof/>
              <w:lang w:eastAsia="hr-HR"/>
            </w:rPr>
          </w:pPr>
          <w:hyperlink w:anchor="_Toc377039887" w:history="1">
            <w:r w:rsidR="00307E64" w:rsidRPr="00C71C97">
              <w:rPr>
                <w:rStyle w:val="Hyperlink"/>
                <w:noProof/>
              </w:rPr>
              <w:t>5.2.Uspostavljanje i upravljanje ISMS-om</w:t>
            </w:r>
            <w:r w:rsidR="00307E64">
              <w:rPr>
                <w:noProof/>
                <w:webHidden/>
              </w:rPr>
              <w:tab/>
            </w:r>
            <w:r w:rsidR="00307E64">
              <w:rPr>
                <w:noProof/>
                <w:webHidden/>
              </w:rPr>
              <w:fldChar w:fldCharType="begin"/>
            </w:r>
            <w:r w:rsidR="00307E64">
              <w:rPr>
                <w:noProof/>
                <w:webHidden/>
              </w:rPr>
              <w:instrText xml:space="preserve"> PAGEREF _Toc377039887 \h </w:instrText>
            </w:r>
            <w:r w:rsidR="00307E64">
              <w:rPr>
                <w:noProof/>
                <w:webHidden/>
              </w:rPr>
            </w:r>
            <w:r w:rsidR="00307E64">
              <w:rPr>
                <w:noProof/>
                <w:webHidden/>
              </w:rPr>
              <w:fldChar w:fldCharType="separate"/>
            </w:r>
            <w:r w:rsidR="00307E64">
              <w:rPr>
                <w:noProof/>
                <w:webHidden/>
              </w:rPr>
              <w:t>7</w:t>
            </w:r>
            <w:r w:rsidR="00307E64">
              <w:rPr>
                <w:noProof/>
                <w:webHidden/>
              </w:rPr>
              <w:fldChar w:fldCharType="end"/>
            </w:r>
          </w:hyperlink>
        </w:p>
        <w:p w:rsidR="00307E64" w:rsidRDefault="004D1B2F">
          <w:pPr>
            <w:pStyle w:val="TOC2"/>
            <w:tabs>
              <w:tab w:val="right" w:leader="dot" w:pos="9062"/>
            </w:tabs>
            <w:rPr>
              <w:rFonts w:eastAsiaTheme="minorEastAsia"/>
              <w:noProof/>
              <w:lang w:eastAsia="hr-HR"/>
            </w:rPr>
          </w:pPr>
          <w:hyperlink w:anchor="_Toc377039888" w:history="1">
            <w:r w:rsidR="00307E64" w:rsidRPr="00C71C97">
              <w:rPr>
                <w:rStyle w:val="Hyperlink"/>
                <w:noProof/>
              </w:rPr>
              <w:t>5.3.Zahtjevi za dokumentaciju</w:t>
            </w:r>
            <w:r w:rsidR="00307E64">
              <w:rPr>
                <w:noProof/>
                <w:webHidden/>
              </w:rPr>
              <w:tab/>
            </w:r>
            <w:r w:rsidR="00307E64">
              <w:rPr>
                <w:noProof/>
                <w:webHidden/>
              </w:rPr>
              <w:fldChar w:fldCharType="begin"/>
            </w:r>
            <w:r w:rsidR="00307E64">
              <w:rPr>
                <w:noProof/>
                <w:webHidden/>
              </w:rPr>
              <w:instrText xml:space="preserve"> PAGEREF _Toc377039888 \h </w:instrText>
            </w:r>
            <w:r w:rsidR="00307E64">
              <w:rPr>
                <w:noProof/>
                <w:webHidden/>
              </w:rPr>
            </w:r>
            <w:r w:rsidR="00307E64">
              <w:rPr>
                <w:noProof/>
                <w:webHidden/>
              </w:rPr>
              <w:fldChar w:fldCharType="separate"/>
            </w:r>
            <w:r w:rsidR="00307E64">
              <w:rPr>
                <w:noProof/>
                <w:webHidden/>
              </w:rPr>
              <w:t>9</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89" w:history="1">
            <w:r w:rsidR="00307E64" w:rsidRPr="00C71C97">
              <w:rPr>
                <w:rStyle w:val="Hyperlink"/>
                <w:noProof/>
              </w:rPr>
              <w:t>6.Odgovornost uprave</w:t>
            </w:r>
            <w:r w:rsidR="00307E64">
              <w:rPr>
                <w:noProof/>
                <w:webHidden/>
              </w:rPr>
              <w:tab/>
            </w:r>
            <w:r w:rsidR="00307E64">
              <w:rPr>
                <w:noProof/>
                <w:webHidden/>
              </w:rPr>
              <w:fldChar w:fldCharType="begin"/>
            </w:r>
            <w:r w:rsidR="00307E64">
              <w:rPr>
                <w:noProof/>
                <w:webHidden/>
              </w:rPr>
              <w:instrText xml:space="preserve"> PAGEREF _Toc377039889 \h </w:instrText>
            </w:r>
            <w:r w:rsidR="00307E64">
              <w:rPr>
                <w:noProof/>
                <w:webHidden/>
              </w:rPr>
            </w:r>
            <w:r w:rsidR="00307E64">
              <w:rPr>
                <w:noProof/>
                <w:webHidden/>
              </w:rPr>
              <w:fldChar w:fldCharType="separate"/>
            </w:r>
            <w:r w:rsidR="00307E64">
              <w:rPr>
                <w:noProof/>
                <w:webHidden/>
              </w:rPr>
              <w:t>11</w:t>
            </w:r>
            <w:r w:rsidR="00307E64">
              <w:rPr>
                <w:noProof/>
                <w:webHidden/>
              </w:rPr>
              <w:fldChar w:fldCharType="end"/>
            </w:r>
          </w:hyperlink>
        </w:p>
        <w:p w:rsidR="00307E64" w:rsidRDefault="004D1B2F">
          <w:pPr>
            <w:pStyle w:val="TOC2"/>
            <w:tabs>
              <w:tab w:val="right" w:leader="dot" w:pos="9062"/>
            </w:tabs>
            <w:rPr>
              <w:rFonts w:eastAsiaTheme="minorEastAsia"/>
              <w:noProof/>
              <w:lang w:eastAsia="hr-HR"/>
            </w:rPr>
          </w:pPr>
          <w:hyperlink w:anchor="_Toc377039890" w:history="1">
            <w:r w:rsidR="00307E64" w:rsidRPr="00C71C97">
              <w:rPr>
                <w:rStyle w:val="Hyperlink"/>
                <w:noProof/>
              </w:rPr>
              <w:t>6.1.Opredjeljenje uprave</w:t>
            </w:r>
            <w:r w:rsidR="00307E64">
              <w:rPr>
                <w:noProof/>
                <w:webHidden/>
              </w:rPr>
              <w:tab/>
            </w:r>
            <w:r w:rsidR="00307E64">
              <w:rPr>
                <w:noProof/>
                <w:webHidden/>
              </w:rPr>
              <w:fldChar w:fldCharType="begin"/>
            </w:r>
            <w:r w:rsidR="00307E64">
              <w:rPr>
                <w:noProof/>
                <w:webHidden/>
              </w:rPr>
              <w:instrText xml:space="preserve"> PAGEREF _Toc377039890 \h </w:instrText>
            </w:r>
            <w:r w:rsidR="00307E64">
              <w:rPr>
                <w:noProof/>
                <w:webHidden/>
              </w:rPr>
            </w:r>
            <w:r w:rsidR="00307E64">
              <w:rPr>
                <w:noProof/>
                <w:webHidden/>
              </w:rPr>
              <w:fldChar w:fldCharType="separate"/>
            </w:r>
            <w:r w:rsidR="00307E64">
              <w:rPr>
                <w:noProof/>
                <w:webHidden/>
              </w:rPr>
              <w:t>11</w:t>
            </w:r>
            <w:r w:rsidR="00307E64">
              <w:rPr>
                <w:noProof/>
                <w:webHidden/>
              </w:rPr>
              <w:fldChar w:fldCharType="end"/>
            </w:r>
          </w:hyperlink>
        </w:p>
        <w:p w:rsidR="00307E64" w:rsidRDefault="004D1B2F">
          <w:pPr>
            <w:pStyle w:val="TOC2"/>
            <w:tabs>
              <w:tab w:val="right" w:leader="dot" w:pos="9062"/>
            </w:tabs>
            <w:rPr>
              <w:rFonts w:eastAsiaTheme="minorEastAsia"/>
              <w:noProof/>
              <w:lang w:eastAsia="hr-HR"/>
            </w:rPr>
          </w:pPr>
          <w:hyperlink w:anchor="_Toc377039891" w:history="1">
            <w:r w:rsidR="00307E64" w:rsidRPr="00C71C97">
              <w:rPr>
                <w:rStyle w:val="Hyperlink"/>
                <w:noProof/>
              </w:rPr>
              <w:t>6.2.Upravljanje sredstvima</w:t>
            </w:r>
            <w:r w:rsidR="00307E64">
              <w:rPr>
                <w:noProof/>
                <w:webHidden/>
              </w:rPr>
              <w:tab/>
            </w:r>
            <w:r w:rsidR="00307E64">
              <w:rPr>
                <w:noProof/>
                <w:webHidden/>
              </w:rPr>
              <w:fldChar w:fldCharType="begin"/>
            </w:r>
            <w:r w:rsidR="00307E64">
              <w:rPr>
                <w:noProof/>
                <w:webHidden/>
              </w:rPr>
              <w:instrText xml:space="preserve"> PAGEREF _Toc377039891 \h </w:instrText>
            </w:r>
            <w:r w:rsidR="00307E64">
              <w:rPr>
                <w:noProof/>
                <w:webHidden/>
              </w:rPr>
            </w:r>
            <w:r w:rsidR="00307E64">
              <w:rPr>
                <w:noProof/>
                <w:webHidden/>
              </w:rPr>
              <w:fldChar w:fldCharType="separate"/>
            </w:r>
            <w:r w:rsidR="00307E64">
              <w:rPr>
                <w:noProof/>
                <w:webHidden/>
              </w:rPr>
              <w:t>11</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92" w:history="1">
            <w:r w:rsidR="00307E64" w:rsidRPr="00C71C97">
              <w:rPr>
                <w:rStyle w:val="Hyperlink"/>
                <w:noProof/>
              </w:rPr>
              <w:t>7.Interne prosudbe (auditi) ISMS-a</w:t>
            </w:r>
            <w:r w:rsidR="00307E64">
              <w:rPr>
                <w:noProof/>
                <w:webHidden/>
              </w:rPr>
              <w:tab/>
            </w:r>
            <w:r w:rsidR="00307E64">
              <w:rPr>
                <w:noProof/>
                <w:webHidden/>
              </w:rPr>
              <w:fldChar w:fldCharType="begin"/>
            </w:r>
            <w:r w:rsidR="00307E64">
              <w:rPr>
                <w:noProof/>
                <w:webHidden/>
              </w:rPr>
              <w:instrText xml:space="preserve"> PAGEREF _Toc377039892 \h </w:instrText>
            </w:r>
            <w:r w:rsidR="00307E64">
              <w:rPr>
                <w:noProof/>
                <w:webHidden/>
              </w:rPr>
            </w:r>
            <w:r w:rsidR="00307E64">
              <w:rPr>
                <w:noProof/>
                <w:webHidden/>
              </w:rPr>
              <w:fldChar w:fldCharType="separate"/>
            </w:r>
            <w:r w:rsidR="00307E64">
              <w:rPr>
                <w:noProof/>
                <w:webHidden/>
              </w:rPr>
              <w:t>12</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93" w:history="1">
            <w:r w:rsidR="00307E64" w:rsidRPr="00C71C97">
              <w:rPr>
                <w:rStyle w:val="Hyperlink"/>
                <w:noProof/>
              </w:rPr>
              <w:t>8.Provjera ISMS-a od strane uprave</w:t>
            </w:r>
            <w:r w:rsidR="00307E64">
              <w:rPr>
                <w:noProof/>
                <w:webHidden/>
              </w:rPr>
              <w:tab/>
            </w:r>
            <w:r w:rsidR="00307E64">
              <w:rPr>
                <w:noProof/>
                <w:webHidden/>
              </w:rPr>
              <w:fldChar w:fldCharType="begin"/>
            </w:r>
            <w:r w:rsidR="00307E64">
              <w:rPr>
                <w:noProof/>
                <w:webHidden/>
              </w:rPr>
              <w:instrText xml:space="preserve"> PAGEREF _Toc377039893 \h </w:instrText>
            </w:r>
            <w:r w:rsidR="00307E64">
              <w:rPr>
                <w:noProof/>
                <w:webHidden/>
              </w:rPr>
            </w:r>
            <w:r w:rsidR="00307E64">
              <w:rPr>
                <w:noProof/>
                <w:webHidden/>
              </w:rPr>
              <w:fldChar w:fldCharType="separate"/>
            </w:r>
            <w:r w:rsidR="00307E64">
              <w:rPr>
                <w:noProof/>
                <w:webHidden/>
              </w:rPr>
              <w:t>13</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94" w:history="1">
            <w:r w:rsidR="00307E64" w:rsidRPr="00C71C97">
              <w:rPr>
                <w:rStyle w:val="Hyperlink"/>
                <w:noProof/>
              </w:rPr>
              <w:t>9.Poboljšanje ISMS-a</w:t>
            </w:r>
            <w:r w:rsidR="00307E64">
              <w:rPr>
                <w:noProof/>
                <w:webHidden/>
              </w:rPr>
              <w:tab/>
            </w:r>
            <w:r w:rsidR="00307E64">
              <w:rPr>
                <w:noProof/>
                <w:webHidden/>
              </w:rPr>
              <w:fldChar w:fldCharType="begin"/>
            </w:r>
            <w:r w:rsidR="00307E64">
              <w:rPr>
                <w:noProof/>
                <w:webHidden/>
              </w:rPr>
              <w:instrText xml:space="preserve"> PAGEREF _Toc377039894 \h </w:instrText>
            </w:r>
            <w:r w:rsidR="00307E64">
              <w:rPr>
                <w:noProof/>
                <w:webHidden/>
              </w:rPr>
            </w:r>
            <w:r w:rsidR="00307E64">
              <w:rPr>
                <w:noProof/>
                <w:webHidden/>
              </w:rPr>
              <w:fldChar w:fldCharType="separate"/>
            </w:r>
            <w:r w:rsidR="00307E64">
              <w:rPr>
                <w:noProof/>
                <w:webHidden/>
              </w:rPr>
              <w:t>14</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95" w:history="1">
            <w:r w:rsidR="00307E64" w:rsidRPr="00C71C97">
              <w:rPr>
                <w:rStyle w:val="Hyperlink"/>
                <w:noProof/>
              </w:rPr>
              <w:t>10.ISO 27001 certificiranje</w:t>
            </w:r>
            <w:r w:rsidR="00307E64">
              <w:rPr>
                <w:noProof/>
                <w:webHidden/>
              </w:rPr>
              <w:tab/>
            </w:r>
            <w:r w:rsidR="00307E64">
              <w:rPr>
                <w:noProof/>
                <w:webHidden/>
              </w:rPr>
              <w:fldChar w:fldCharType="begin"/>
            </w:r>
            <w:r w:rsidR="00307E64">
              <w:rPr>
                <w:noProof/>
                <w:webHidden/>
              </w:rPr>
              <w:instrText xml:space="preserve"> PAGEREF _Toc377039895 \h </w:instrText>
            </w:r>
            <w:r w:rsidR="00307E64">
              <w:rPr>
                <w:noProof/>
                <w:webHidden/>
              </w:rPr>
            </w:r>
            <w:r w:rsidR="00307E64">
              <w:rPr>
                <w:noProof/>
                <w:webHidden/>
              </w:rPr>
              <w:fldChar w:fldCharType="separate"/>
            </w:r>
            <w:r w:rsidR="00307E64">
              <w:rPr>
                <w:noProof/>
                <w:webHidden/>
              </w:rPr>
              <w:t>15</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96" w:history="1">
            <w:r w:rsidR="00307E64" w:rsidRPr="00C71C97">
              <w:rPr>
                <w:rStyle w:val="Hyperlink"/>
                <w:noProof/>
              </w:rPr>
              <w:t>11.ISO 27000 zaključak</w:t>
            </w:r>
            <w:r w:rsidR="00307E64">
              <w:rPr>
                <w:noProof/>
                <w:webHidden/>
              </w:rPr>
              <w:tab/>
            </w:r>
            <w:r w:rsidR="00307E64">
              <w:rPr>
                <w:noProof/>
                <w:webHidden/>
              </w:rPr>
              <w:fldChar w:fldCharType="begin"/>
            </w:r>
            <w:r w:rsidR="00307E64">
              <w:rPr>
                <w:noProof/>
                <w:webHidden/>
              </w:rPr>
              <w:instrText xml:space="preserve"> PAGEREF _Toc377039896 \h </w:instrText>
            </w:r>
            <w:r w:rsidR="00307E64">
              <w:rPr>
                <w:noProof/>
                <w:webHidden/>
              </w:rPr>
            </w:r>
            <w:r w:rsidR="00307E64">
              <w:rPr>
                <w:noProof/>
                <w:webHidden/>
              </w:rPr>
              <w:fldChar w:fldCharType="separate"/>
            </w:r>
            <w:r w:rsidR="00307E64">
              <w:rPr>
                <w:noProof/>
                <w:webHidden/>
              </w:rPr>
              <w:t>17</w:t>
            </w:r>
            <w:r w:rsidR="00307E64">
              <w:rPr>
                <w:noProof/>
                <w:webHidden/>
              </w:rPr>
              <w:fldChar w:fldCharType="end"/>
            </w:r>
          </w:hyperlink>
        </w:p>
        <w:p w:rsidR="00307E64" w:rsidRDefault="004D1B2F">
          <w:pPr>
            <w:pStyle w:val="TOC1"/>
            <w:tabs>
              <w:tab w:val="right" w:leader="dot" w:pos="9062"/>
            </w:tabs>
            <w:rPr>
              <w:rFonts w:eastAsiaTheme="minorEastAsia"/>
              <w:noProof/>
              <w:lang w:eastAsia="hr-HR"/>
            </w:rPr>
          </w:pPr>
          <w:hyperlink w:anchor="_Toc377039897" w:history="1">
            <w:r w:rsidR="00307E64" w:rsidRPr="00C71C97">
              <w:rPr>
                <w:rStyle w:val="Hyperlink"/>
                <w:noProof/>
              </w:rPr>
              <w:t>Literatura</w:t>
            </w:r>
            <w:r w:rsidR="00307E64">
              <w:rPr>
                <w:noProof/>
                <w:webHidden/>
              </w:rPr>
              <w:tab/>
            </w:r>
            <w:r w:rsidR="00307E64">
              <w:rPr>
                <w:noProof/>
                <w:webHidden/>
              </w:rPr>
              <w:fldChar w:fldCharType="begin"/>
            </w:r>
            <w:r w:rsidR="00307E64">
              <w:rPr>
                <w:noProof/>
                <w:webHidden/>
              </w:rPr>
              <w:instrText xml:space="preserve"> PAGEREF _Toc377039897 \h </w:instrText>
            </w:r>
            <w:r w:rsidR="00307E64">
              <w:rPr>
                <w:noProof/>
                <w:webHidden/>
              </w:rPr>
            </w:r>
            <w:r w:rsidR="00307E64">
              <w:rPr>
                <w:noProof/>
                <w:webHidden/>
              </w:rPr>
              <w:fldChar w:fldCharType="separate"/>
            </w:r>
            <w:r w:rsidR="00307E64">
              <w:rPr>
                <w:noProof/>
                <w:webHidden/>
              </w:rPr>
              <w:t>18</w:t>
            </w:r>
            <w:r w:rsidR="00307E64">
              <w:rPr>
                <w:noProof/>
                <w:webHidden/>
              </w:rPr>
              <w:fldChar w:fldCharType="end"/>
            </w:r>
          </w:hyperlink>
        </w:p>
        <w:p w:rsidR="00C40E1F" w:rsidRDefault="00C40E1F" w:rsidP="00497D5A">
          <w:pPr>
            <w:spacing w:line="360" w:lineRule="auto"/>
          </w:pPr>
          <w:r w:rsidRPr="00497D5A">
            <w:rPr>
              <w:b/>
              <w:bCs/>
              <w:noProof/>
            </w:rPr>
            <w:fldChar w:fldCharType="end"/>
          </w:r>
        </w:p>
      </w:sdtContent>
    </w:sdt>
    <w:p w:rsidR="00F14A42" w:rsidRPr="00F14A42" w:rsidRDefault="00F14A42" w:rsidP="00C40E1F">
      <w:pPr>
        <w:sectPr w:rsidR="00F14A42" w:rsidRPr="00F14A42" w:rsidSect="00F55F07">
          <w:pgSz w:w="11906" w:h="16838"/>
          <w:pgMar w:top="1417" w:right="1417" w:bottom="1417" w:left="1417" w:header="708" w:footer="708" w:gutter="0"/>
          <w:pgNumType w:fmt="upperRoman" w:start="1"/>
          <w:cols w:space="708"/>
          <w:docGrid w:linePitch="360"/>
        </w:sectPr>
      </w:pPr>
      <w:bookmarkStart w:id="1" w:name="_GoBack"/>
      <w:bookmarkEnd w:id="1"/>
    </w:p>
    <w:p w:rsidR="009B6DDE" w:rsidRDefault="009B6DDE" w:rsidP="009B6DDE">
      <w:pPr>
        <w:pStyle w:val="Heading1"/>
        <w:spacing w:line="480" w:lineRule="auto"/>
      </w:pPr>
      <w:bookmarkStart w:id="2" w:name="_Toc377039881"/>
      <w:r>
        <w:lastRenderedPageBreak/>
        <w:t>1.Uvod</w:t>
      </w:r>
      <w:bookmarkEnd w:id="0"/>
      <w:bookmarkEnd w:id="2"/>
    </w:p>
    <w:p w:rsidR="009B6DDE" w:rsidRDefault="009B6DDE" w:rsidP="009B6DDE">
      <w:pPr>
        <w:spacing w:line="360" w:lineRule="auto"/>
        <w:jc w:val="both"/>
      </w:pPr>
      <w:r>
        <w:t>U današnje doba kada su pojedini proizvodi veoma rašireni na tržištu, a konkurencija velika, nastaje potreba za neprestanim poboljšanjem tih istih proizvoda. Ovo dovodi do većih očekivanja i potreba za informacijama kao pokretačkim snagama svake organizacije. Dok se s jedne strane svaka organizacija bori za što većim brojem korisnika i zahtjeva neprestano poboljšanje svojih proizvoda ili usluga, s druge strane, kod korisnika se javlja potreba za osiguranjem raspoloživosti, povjerljivosti i cjelovitosti informacija.</w:t>
      </w:r>
    </w:p>
    <w:p w:rsidR="009B6DDE" w:rsidRPr="004D5F2D" w:rsidRDefault="009B6DDE" w:rsidP="009B6DDE">
      <w:pPr>
        <w:spacing w:line="360" w:lineRule="auto"/>
        <w:jc w:val="both"/>
      </w:pPr>
      <w:r>
        <w:t xml:space="preserve">Sve veća važnost počinje se pridodavati području informatike kao potpornom procesu svih zainteresiranih stranaka, ali i najvišeg vodstva. Ono što je bitno za </w:t>
      </w:r>
      <w:r w:rsidRPr="00D21FDC">
        <w:rPr>
          <w:b/>
        </w:rPr>
        <w:t>ISO/IEC 27001 normu</w:t>
      </w:r>
      <w:r>
        <w:t xml:space="preserve"> (eng. </w:t>
      </w:r>
      <w:r w:rsidRPr="00CA5FE3">
        <w:rPr>
          <w:i/>
        </w:rPr>
        <w:t>International Organization for Standardization</w:t>
      </w:r>
      <w:r>
        <w:rPr>
          <w:i/>
        </w:rPr>
        <w:t xml:space="preserve"> </w:t>
      </w:r>
      <w:r w:rsidRPr="00CA5FE3">
        <w:rPr>
          <w:i/>
        </w:rPr>
        <w:t>/</w:t>
      </w:r>
      <w:r>
        <w:rPr>
          <w:i/>
        </w:rPr>
        <w:t xml:space="preserve"> </w:t>
      </w:r>
      <w:r w:rsidRPr="00CA5FE3">
        <w:rPr>
          <w:i/>
        </w:rPr>
        <w:t>International Electrotechnical Commission</w:t>
      </w:r>
      <w:r>
        <w:t xml:space="preserve">) jest to da je ona </w:t>
      </w:r>
      <w:r w:rsidRPr="00D21FDC">
        <w:rPr>
          <w:u w:val="single"/>
        </w:rPr>
        <w:t>međunarodna norma</w:t>
      </w:r>
      <w:r>
        <w:t xml:space="preserve"> pripremljena kako bi pružila model za uspostavljanje, implementaciju, rad, nadziranje, provjeru, održavanje i unaprjeđivanje sustava upravljanja informacijskom sigurnošću – </w:t>
      </w:r>
      <w:r w:rsidRPr="00D21FDC">
        <w:rPr>
          <w:b/>
        </w:rPr>
        <w:t>ISMS</w:t>
      </w:r>
      <w:r>
        <w:t xml:space="preserve"> (eng. </w:t>
      </w:r>
      <w:r>
        <w:rPr>
          <w:i/>
        </w:rPr>
        <w:t>Information Security Management Systems</w:t>
      </w:r>
      <w:r>
        <w:t xml:space="preserve">). Usvajanje ISMS-a treba biti </w:t>
      </w:r>
      <w:r w:rsidRPr="00B07604">
        <w:rPr>
          <w:u w:val="single"/>
        </w:rPr>
        <w:t>strateškom odlukom organizacije</w:t>
      </w:r>
      <w:r>
        <w:t>, odnosno da se očekuje da će implementacija ISMS-a pratiti potrebe organizacije.</w:t>
      </w:r>
    </w:p>
    <w:p w:rsidR="00404947" w:rsidRDefault="00404947">
      <w:pPr>
        <w:rPr>
          <w:rFonts w:asciiTheme="majorHAnsi" w:eastAsiaTheme="majorEastAsia" w:hAnsiTheme="majorHAnsi" w:cstheme="majorBidi"/>
          <w:b/>
          <w:bCs/>
          <w:color w:val="365F91" w:themeColor="accent1" w:themeShade="BF"/>
          <w:sz w:val="28"/>
          <w:szCs w:val="28"/>
        </w:rPr>
      </w:pPr>
      <w:bookmarkStart w:id="3" w:name="_Toc375037916"/>
      <w:r>
        <w:br w:type="page"/>
      </w:r>
    </w:p>
    <w:p w:rsidR="009B6DDE" w:rsidRDefault="009B6DDE" w:rsidP="009B6DDE">
      <w:pPr>
        <w:pStyle w:val="Heading1"/>
        <w:spacing w:line="480" w:lineRule="auto"/>
      </w:pPr>
      <w:bookmarkStart w:id="4" w:name="_Toc377039882"/>
      <w:r>
        <w:lastRenderedPageBreak/>
        <w:t>2.Povijest norme ISO/IEC 27001:2005</w:t>
      </w:r>
      <w:bookmarkEnd w:id="3"/>
      <w:bookmarkEnd w:id="4"/>
    </w:p>
    <w:p w:rsidR="009B6DDE" w:rsidRDefault="009B6DDE" w:rsidP="009B6DDE">
      <w:pPr>
        <w:spacing w:line="360" w:lineRule="auto"/>
        <w:jc w:val="both"/>
      </w:pPr>
      <w:r>
        <w:t>Prije nastajanja ISO normi, postojala je BS 7799 norma (nastala pod okriljem British Standard Institute). Prvi put je izišla kao kodeks dobre prakse 1995.g. Tijekom godina je nadopunjavana, te je 1999.g. podijeljena na dva dijela, BS 7799-1 i BS 7799-2. Nekoliko godina kasnije, normu BS 7799-1 preuzima ISO (Međunarodna organizacija za standardizaciju) i izdaje ju pod imenom ISO/IEC 17799. Kasnije je norma BS 7799-</w:t>
      </w:r>
      <w:r w:rsidR="007A3F23">
        <w:t xml:space="preserve">2 izdana kao ISO/IEC 27001:2005 [Knez J, 2006, str. 1] </w:t>
      </w:r>
      <w:r>
        <w:t xml:space="preserve">U istoj su opisani pojedini elementi sustava upravljanja sigurnošću informacija. Norma je napisana u obliku zahtjeva, koje sustav treba ispunjavati, te omogućava ocjenjivanje bilo interno ili vanjsko, od neovisne certifikacijske institucije.  </w:t>
      </w:r>
    </w:p>
    <w:p w:rsidR="00404947" w:rsidRDefault="00404947">
      <w:pPr>
        <w:rPr>
          <w:rFonts w:asciiTheme="majorHAnsi" w:eastAsiaTheme="majorEastAsia" w:hAnsiTheme="majorHAnsi" w:cstheme="majorBidi"/>
          <w:b/>
          <w:bCs/>
          <w:color w:val="365F91" w:themeColor="accent1" w:themeShade="BF"/>
          <w:sz w:val="28"/>
          <w:szCs w:val="28"/>
        </w:rPr>
      </w:pPr>
      <w:bookmarkStart w:id="5" w:name="_Toc375037917"/>
      <w:r>
        <w:br w:type="page"/>
      </w:r>
    </w:p>
    <w:p w:rsidR="009B6DDE" w:rsidRDefault="009B6DDE" w:rsidP="009B6DDE">
      <w:pPr>
        <w:pStyle w:val="Heading1"/>
        <w:spacing w:line="480" w:lineRule="auto"/>
      </w:pPr>
      <w:bookmarkStart w:id="6" w:name="_Toc377039883"/>
      <w:r>
        <w:lastRenderedPageBreak/>
        <w:t>3.Procesni pristup</w:t>
      </w:r>
      <w:bookmarkEnd w:id="5"/>
      <w:bookmarkEnd w:id="6"/>
    </w:p>
    <w:p w:rsidR="009B6DDE" w:rsidRDefault="009B6DDE" w:rsidP="009B6DDE">
      <w:pPr>
        <w:spacing w:line="360" w:lineRule="auto"/>
        <w:jc w:val="both"/>
      </w:pPr>
      <w:r>
        <w:t>ISO 27001 usvaja procesni pristup za uspostavljanje, implementaciju, rad, nadziranje, provjeru, održavanje i unaprj</w:t>
      </w:r>
      <w:r w:rsidR="007A3F23">
        <w:t>eđivanje organizacijskog ISMS-a [</w:t>
      </w:r>
      <w:r w:rsidR="007A3F23" w:rsidRPr="007A3F23">
        <w:t>Zavod za ispitivanje kvalitete d.o.o.</w:t>
      </w:r>
      <w:r w:rsidR="007A3F23">
        <w:t>, 2007, str. 1]</w:t>
      </w:r>
      <w:r w:rsidR="007A3F23" w:rsidRPr="007A3F23">
        <w:t xml:space="preserve"> </w:t>
      </w:r>
      <w:r>
        <w:t xml:space="preserve"> Organizacija treba identificirati i upravljati mnogim aktivnostima ukoliko želi učinkovito funkcionirati. </w:t>
      </w:r>
    </w:p>
    <w:p w:rsidR="009B6DDE" w:rsidRDefault="009B6DDE" w:rsidP="009B6DDE">
      <w:pPr>
        <w:spacing w:line="360" w:lineRule="auto"/>
        <w:jc w:val="both"/>
      </w:pPr>
      <w:r>
        <w:t xml:space="preserve">Bitno je naglasiti kako ova međunarodna norma usvaja </w:t>
      </w:r>
      <w:r>
        <w:rPr>
          <w:b/>
        </w:rPr>
        <w:t>PDCA model</w:t>
      </w:r>
      <w:r>
        <w:t>. Slika 1 prikazuje uzimanje zahtjeva za informacijsku sigurnost i očekivanja zainteresiranih strana, kao ulaznu komponentu, te kroz neophodne procese stvara rezultate informacijske sigurnosti koji odgovaraju tim zahtjevima i očekivanjima, kao izlaznu komponentu.</w:t>
      </w:r>
    </w:p>
    <w:p w:rsidR="00A71F39" w:rsidRDefault="009B6DDE" w:rsidP="00A71F39">
      <w:pPr>
        <w:keepNext/>
        <w:spacing w:line="360" w:lineRule="auto"/>
        <w:jc w:val="both"/>
      </w:pPr>
      <w:r>
        <w:rPr>
          <w:noProof/>
          <w:lang w:eastAsia="hr-HR"/>
        </w:rPr>
        <w:drawing>
          <wp:inline distT="0" distB="0" distL="0" distR="0" wp14:anchorId="12C4A6F4" wp14:editId="1D458E86">
            <wp:extent cx="6059498" cy="2219325"/>
            <wp:effectExtent l="19050" t="19050" r="177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73520" cy="2224460"/>
                    </a:xfrm>
                    <a:prstGeom prst="rect">
                      <a:avLst/>
                    </a:prstGeom>
                    <a:ln>
                      <a:solidFill>
                        <a:schemeClr val="accent1"/>
                      </a:solidFill>
                    </a:ln>
                  </pic:spPr>
                </pic:pic>
              </a:graphicData>
            </a:graphic>
          </wp:inline>
        </w:drawing>
      </w:r>
    </w:p>
    <w:p w:rsidR="009B6DDE" w:rsidRPr="003E3229" w:rsidRDefault="00A71F39" w:rsidP="00A71F39">
      <w:pPr>
        <w:pStyle w:val="Caption"/>
        <w:jc w:val="center"/>
        <w:rPr>
          <w:color w:val="000000" w:themeColor="text1"/>
          <w:sz w:val="24"/>
          <w:szCs w:val="24"/>
        </w:rPr>
      </w:pPr>
      <w:r w:rsidRPr="003E3229">
        <w:rPr>
          <w:color w:val="000000" w:themeColor="text1"/>
          <w:sz w:val="24"/>
          <w:szCs w:val="24"/>
        </w:rPr>
        <w:t xml:space="preserve">Slika </w:t>
      </w:r>
      <w:r w:rsidRPr="003E3229">
        <w:rPr>
          <w:color w:val="000000" w:themeColor="text1"/>
          <w:sz w:val="24"/>
          <w:szCs w:val="24"/>
        </w:rPr>
        <w:fldChar w:fldCharType="begin"/>
      </w:r>
      <w:r w:rsidRPr="003E3229">
        <w:rPr>
          <w:color w:val="000000" w:themeColor="text1"/>
          <w:sz w:val="24"/>
          <w:szCs w:val="24"/>
        </w:rPr>
        <w:instrText xml:space="preserve"> SEQ Slika \* ARABIC </w:instrText>
      </w:r>
      <w:r w:rsidRPr="003E3229">
        <w:rPr>
          <w:color w:val="000000" w:themeColor="text1"/>
          <w:sz w:val="24"/>
          <w:szCs w:val="24"/>
        </w:rPr>
        <w:fldChar w:fldCharType="separate"/>
      </w:r>
      <w:r w:rsidR="00BB6910">
        <w:rPr>
          <w:noProof/>
          <w:color w:val="000000" w:themeColor="text1"/>
          <w:sz w:val="24"/>
          <w:szCs w:val="24"/>
        </w:rPr>
        <w:t>1</w:t>
      </w:r>
      <w:r w:rsidRPr="003E3229">
        <w:rPr>
          <w:color w:val="000000" w:themeColor="text1"/>
          <w:sz w:val="24"/>
          <w:szCs w:val="24"/>
        </w:rPr>
        <w:fldChar w:fldCharType="end"/>
      </w:r>
      <w:r w:rsidRPr="003E3229">
        <w:rPr>
          <w:color w:val="000000" w:themeColor="text1"/>
          <w:sz w:val="24"/>
          <w:szCs w:val="24"/>
        </w:rPr>
        <w:t xml:space="preserve"> - PDCA model primijenjen na ISMS procese [Zavod za ispitivanje kvalitete d.o.o., 2007., str.2]</w:t>
      </w:r>
    </w:p>
    <w:p w:rsidR="009B6DDE" w:rsidRDefault="009B6DDE" w:rsidP="009B6DDE">
      <w:pPr>
        <w:spacing w:line="360" w:lineRule="auto"/>
        <w:jc w:val="both"/>
      </w:pPr>
      <w:r>
        <w:t>PDCA model je skraćeni naziv za „Plan-Do-Check-Act“ model i primjenjen je u oblikovanju svih ISMS procesa. Što se sve podrazumijeva pod PDCA, opisano je u sljedećoj tablici:</w:t>
      </w:r>
    </w:p>
    <w:p w:rsidR="000D05C2" w:rsidRPr="000D05C2" w:rsidRDefault="000D05C2" w:rsidP="000D05C2">
      <w:pPr>
        <w:pStyle w:val="Caption"/>
        <w:keepNext/>
        <w:jc w:val="center"/>
        <w:rPr>
          <w:color w:val="000000" w:themeColor="text1"/>
          <w:sz w:val="24"/>
          <w:szCs w:val="24"/>
        </w:rPr>
      </w:pPr>
      <w:r w:rsidRPr="000D05C2">
        <w:rPr>
          <w:color w:val="000000" w:themeColor="text1"/>
          <w:sz w:val="24"/>
          <w:szCs w:val="24"/>
        </w:rPr>
        <w:t xml:space="preserve">Tablica </w:t>
      </w:r>
      <w:r w:rsidRPr="000D05C2">
        <w:rPr>
          <w:color w:val="000000" w:themeColor="text1"/>
          <w:sz w:val="24"/>
          <w:szCs w:val="24"/>
        </w:rPr>
        <w:fldChar w:fldCharType="begin"/>
      </w:r>
      <w:r w:rsidRPr="000D05C2">
        <w:rPr>
          <w:color w:val="000000" w:themeColor="text1"/>
          <w:sz w:val="24"/>
          <w:szCs w:val="24"/>
        </w:rPr>
        <w:instrText xml:space="preserve"> SEQ Tablica \* ARABIC </w:instrText>
      </w:r>
      <w:r w:rsidRPr="000D05C2">
        <w:rPr>
          <w:color w:val="000000" w:themeColor="text1"/>
          <w:sz w:val="24"/>
          <w:szCs w:val="24"/>
        </w:rPr>
        <w:fldChar w:fldCharType="separate"/>
      </w:r>
      <w:r w:rsidR="00BB6910">
        <w:rPr>
          <w:noProof/>
          <w:color w:val="000000" w:themeColor="text1"/>
          <w:sz w:val="24"/>
          <w:szCs w:val="24"/>
        </w:rPr>
        <w:t>1</w:t>
      </w:r>
      <w:r w:rsidRPr="000D05C2">
        <w:rPr>
          <w:color w:val="000000" w:themeColor="text1"/>
          <w:sz w:val="24"/>
          <w:szCs w:val="24"/>
        </w:rPr>
        <w:fldChar w:fldCharType="end"/>
      </w:r>
      <w:r w:rsidRPr="000D05C2">
        <w:rPr>
          <w:color w:val="000000" w:themeColor="text1"/>
          <w:sz w:val="24"/>
          <w:szCs w:val="24"/>
        </w:rPr>
        <w:t xml:space="preserve"> - Opis PDCA modela [Zavod za ispitivanje kvalitete d.o.o, 2007., str. 2]</w:t>
      </w:r>
    </w:p>
    <w:tbl>
      <w:tblPr>
        <w:tblStyle w:val="TableGrid"/>
        <w:tblW w:w="0" w:type="auto"/>
        <w:tblLook w:val="0480" w:firstRow="0" w:lastRow="0" w:firstColumn="1" w:lastColumn="0" w:noHBand="0" w:noVBand="1"/>
      </w:tblPr>
      <w:tblGrid>
        <w:gridCol w:w="3510"/>
        <w:gridCol w:w="5778"/>
      </w:tblGrid>
      <w:tr w:rsidR="009B6DDE" w:rsidRPr="002871D4" w:rsidTr="008E09F2">
        <w:trPr>
          <w:trHeight w:val="454"/>
        </w:trPr>
        <w:tc>
          <w:tcPr>
            <w:tcW w:w="3510" w:type="dxa"/>
            <w:shd w:val="clear" w:color="auto" w:fill="D9D9D9" w:themeFill="background1" w:themeFillShade="D9"/>
            <w:vAlign w:val="center"/>
          </w:tcPr>
          <w:p w:rsidR="009B6DDE" w:rsidRPr="002871D4" w:rsidRDefault="009B6DDE" w:rsidP="008E09F2">
            <w:pPr>
              <w:jc w:val="center"/>
              <w:rPr>
                <w:b/>
              </w:rPr>
            </w:pPr>
            <w:r w:rsidRPr="002871D4">
              <w:rPr>
                <w:b/>
              </w:rPr>
              <w:t>PDCA model</w:t>
            </w:r>
          </w:p>
        </w:tc>
        <w:tc>
          <w:tcPr>
            <w:tcW w:w="5778" w:type="dxa"/>
            <w:shd w:val="clear" w:color="auto" w:fill="D9D9D9" w:themeFill="background1" w:themeFillShade="D9"/>
            <w:vAlign w:val="center"/>
          </w:tcPr>
          <w:p w:rsidR="009B6DDE" w:rsidRPr="002871D4" w:rsidRDefault="009B6DDE" w:rsidP="008E09F2">
            <w:pPr>
              <w:jc w:val="center"/>
              <w:rPr>
                <w:b/>
              </w:rPr>
            </w:pPr>
            <w:r w:rsidRPr="002871D4">
              <w:rPr>
                <w:b/>
              </w:rPr>
              <w:t>Opis</w:t>
            </w:r>
          </w:p>
        </w:tc>
      </w:tr>
      <w:tr w:rsidR="009B6DDE" w:rsidTr="008E09F2">
        <w:trPr>
          <w:trHeight w:val="454"/>
        </w:trPr>
        <w:tc>
          <w:tcPr>
            <w:tcW w:w="3510" w:type="dxa"/>
            <w:vAlign w:val="center"/>
          </w:tcPr>
          <w:p w:rsidR="009B6DDE" w:rsidRDefault="009B6DDE" w:rsidP="008E09F2">
            <w:pPr>
              <w:spacing w:line="276" w:lineRule="auto"/>
            </w:pPr>
            <w:r>
              <w:rPr>
                <w:b/>
              </w:rPr>
              <w:t>Plan</w:t>
            </w:r>
          </w:p>
          <w:p w:rsidR="009B6DDE" w:rsidRPr="002871D4" w:rsidRDefault="009B6DDE" w:rsidP="008E09F2">
            <w:pPr>
              <w:spacing w:line="276" w:lineRule="auto"/>
            </w:pPr>
            <w:r>
              <w:t>(uspostaviti ISMS)</w:t>
            </w:r>
          </w:p>
        </w:tc>
        <w:tc>
          <w:tcPr>
            <w:tcW w:w="5778" w:type="dxa"/>
            <w:vAlign w:val="center"/>
          </w:tcPr>
          <w:p w:rsidR="009B6DDE" w:rsidRPr="005914C5" w:rsidRDefault="009B6DDE" w:rsidP="008E09F2">
            <w:pPr>
              <w:spacing w:line="360" w:lineRule="auto"/>
            </w:pPr>
            <w:r w:rsidRPr="005914C5">
              <w:t xml:space="preserve">Uspostaviti </w:t>
            </w:r>
            <w:r>
              <w:t>ISMS politiku, ciljeve, procese i procedure važne za upravljanje rizikom i poboljšanje informacijske sigurnosti kako bi dali rezultate u skladu s ukupnom politikom i ciljevima organizacije</w:t>
            </w:r>
          </w:p>
        </w:tc>
      </w:tr>
      <w:tr w:rsidR="009B6DDE" w:rsidTr="008E09F2">
        <w:trPr>
          <w:trHeight w:val="454"/>
        </w:trPr>
        <w:tc>
          <w:tcPr>
            <w:tcW w:w="3510" w:type="dxa"/>
            <w:vAlign w:val="center"/>
          </w:tcPr>
          <w:p w:rsidR="009B6DDE" w:rsidRDefault="009B6DDE" w:rsidP="008E09F2">
            <w:pPr>
              <w:spacing w:line="276" w:lineRule="auto"/>
            </w:pPr>
            <w:r>
              <w:rPr>
                <w:b/>
              </w:rPr>
              <w:t>Do</w:t>
            </w:r>
          </w:p>
          <w:p w:rsidR="009B6DDE" w:rsidRPr="002871D4" w:rsidRDefault="009B6DDE" w:rsidP="008E09F2">
            <w:pPr>
              <w:spacing w:line="276" w:lineRule="auto"/>
            </w:pPr>
            <w:r>
              <w:t>(implementirati i izvršavati ISMS)</w:t>
            </w:r>
          </w:p>
        </w:tc>
        <w:tc>
          <w:tcPr>
            <w:tcW w:w="5778" w:type="dxa"/>
            <w:vAlign w:val="center"/>
          </w:tcPr>
          <w:p w:rsidR="009B6DDE" w:rsidRPr="005914C5" w:rsidRDefault="009B6DDE" w:rsidP="008E09F2">
            <w:pPr>
              <w:spacing w:line="360" w:lineRule="auto"/>
            </w:pPr>
            <w:r>
              <w:t>Implementirati i izvršavati ISMS politiku, kontrole, procese i procedure</w:t>
            </w:r>
          </w:p>
        </w:tc>
      </w:tr>
      <w:tr w:rsidR="009B6DDE" w:rsidTr="008E09F2">
        <w:trPr>
          <w:trHeight w:val="454"/>
        </w:trPr>
        <w:tc>
          <w:tcPr>
            <w:tcW w:w="3510" w:type="dxa"/>
            <w:vAlign w:val="center"/>
          </w:tcPr>
          <w:p w:rsidR="009B6DDE" w:rsidRDefault="009B6DDE" w:rsidP="008E09F2">
            <w:pPr>
              <w:spacing w:line="276" w:lineRule="auto"/>
            </w:pPr>
            <w:r>
              <w:rPr>
                <w:b/>
              </w:rPr>
              <w:t>Check</w:t>
            </w:r>
          </w:p>
          <w:p w:rsidR="009B6DDE" w:rsidRPr="002871D4" w:rsidRDefault="009B6DDE" w:rsidP="008E09F2">
            <w:pPr>
              <w:spacing w:line="276" w:lineRule="auto"/>
            </w:pPr>
            <w:r>
              <w:t>(nadgledati i provjeravati ISMS)</w:t>
            </w:r>
          </w:p>
        </w:tc>
        <w:tc>
          <w:tcPr>
            <w:tcW w:w="5778" w:type="dxa"/>
            <w:vAlign w:val="center"/>
          </w:tcPr>
          <w:p w:rsidR="009B6DDE" w:rsidRPr="005914C5" w:rsidRDefault="009B6DDE" w:rsidP="008E09F2">
            <w:pPr>
              <w:spacing w:line="360" w:lineRule="auto"/>
            </w:pPr>
            <w:r>
              <w:t xml:space="preserve">Procijeniti i gdje je primjenjivo, mjeriti izvršavanje procesa u odnosu na ISMS politiku, ciljeve i praktično </w:t>
            </w:r>
            <w:r>
              <w:lastRenderedPageBreak/>
              <w:t>iskustvo, te izvještavati upravu o rezultatima radi provjere</w:t>
            </w:r>
          </w:p>
        </w:tc>
      </w:tr>
      <w:tr w:rsidR="009B6DDE" w:rsidTr="008E09F2">
        <w:trPr>
          <w:trHeight w:val="454"/>
        </w:trPr>
        <w:tc>
          <w:tcPr>
            <w:tcW w:w="3510" w:type="dxa"/>
            <w:vAlign w:val="center"/>
          </w:tcPr>
          <w:p w:rsidR="009B6DDE" w:rsidRDefault="009B6DDE" w:rsidP="008E09F2">
            <w:pPr>
              <w:spacing w:line="276" w:lineRule="auto"/>
            </w:pPr>
            <w:r>
              <w:rPr>
                <w:b/>
              </w:rPr>
              <w:lastRenderedPageBreak/>
              <w:t>Act</w:t>
            </w:r>
          </w:p>
          <w:p w:rsidR="009B6DDE" w:rsidRPr="00CD7240" w:rsidRDefault="009B6DDE" w:rsidP="008E09F2">
            <w:pPr>
              <w:spacing w:line="276" w:lineRule="auto"/>
            </w:pPr>
            <w:r>
              <w:t>(održavati i poboljšavati ISMS)</w:t>
            </w:r>
          </w:p>
        </w:tc>
        <w:tc>
          <w:tcPr>
            <w:tcW w:w="5778" w:type="dxa"/>
            <w:vAlign w:val="center"/>
          </w:tcPr>
          <w:p w:rsidR="009B6DDE" w:rsidRPr="005914C5" w:rsidRDefault="009B6DDE" w:rsidP="008E09F2">
            <w:pPr>
              <w:spacing w:line="360" w:lineRule="auto"/>
            </w:pPr>
            <w:r>
              <w:t>Poduzeti korektivne i preventivne akcije zasnivane na rezultatima interne ISMS prosudbe (audita) i provjere uprave ili ostalim bitnim informacijama kako bi se postiglo stalno poboljšanje ISMS-a</w:t>
            </w:r>
          </w:p>
        </w:tc>
      </w:tr>
    </w:tbl>
    <w:p w:rsidR="00404947" w:rsidRDefault="00404947" w:rsidP="009B6DDE">
      <w:pPr>
        <w:pStyle w:val="Heading1"/>
        <w:spacing w:line="480" w:lineRule="auto"/>
      </w:pPr>
      <w:bookmarkStart w:id="7" w:name="_Toc375037918"/>
    </w:p>
    <w:p w:rsidR="00404947" w:rsidRDefault="00404947">
      <w:pPr>
        <w:rPr>
          <w:rFonts w:asciiTheme="majorHAnsi" w:eastAsiaTheme="majorEastAsia" w:hAnsiTheme="majorHAnsi" w:cstheme="majorBidi"/>
          <w:b/>
          <w:bCs/>
          <w:color w:val="365F91" w:themeColor="accent1" w:themeShade="BF"/>
          <w:sz w:val="28"/>
          <w:szCs w:val="28"/>
        </w:rPr>
      </w:pPr>
      <w:r>
        <w:br w:type="page"/>
      </w:r>
    </w:p>
    <w:p w:rsidR="009B6DDE" w:rsidRDefault="009B6DDE" w:rsidP="009B6DDE">
      <w:pPr>
        <w:pStyle w:val="Heading1"/>
        <w:spacing w:line="480" w:lineRule="auto"/>
      </w:pPr>
      <w:bookmarkStart w:id="8" w:name="_Toc377039884"/>
      <w:r>
        <w:lastRenderedPageBreak/>
        <w:t>4.Terminologija</w:t>
      </w:r>
      <w:bookmarkEnd w:id="7"/>
      <w:bookmarkEnd w:id="8"/>
    </w:p>
    <w:p w:rsidR="009B6DDE" w:rsidRDefault="009B6DDE" w:rsidP="009B6DDE">
      <w:pPr>
        <w:spacing w:line="360" w:lineRule="auto"/>
        <w:jc w:val="both"/>
      </w:pPr>
      <w:r>
        <w:t>Za potrebe ISO 27001 definiramo i primjenjujemo sljedeće nazive i definicije, prikazane u tablici niže:</w:t>
      </w:r>
    </w:p>
    <w:p w:rsidR="001564C7" w:rsidRPr="001564C7" w:rsidRDefault="001564C7" w:rsidP="001564C7">
      <w:pPr>
        <w:pStyle w:val="Caption"/>
        <w:keepNext/>
        <w:jc w:val="center"/>
        <w:rPr>
          <w:color w:val="000000" w:themeColor="text1"/>
          <w:sz w:val="24"/>
        </w:rPr>
      </w:pPr>
      <w:r w:rsidRPr="001564C7">
        <w:rPr>
          <w:color w:val="000000" w:themeColor="text1"/>
          <w:sz w:val="24"/>
        </w:rPr>
        <w:t xml:space="preserve">Tablica </w:t>
      </w:r>
      <w:r w:rsidRPr="001564C7">
        <w:rPr>
          <w:color w:val="000000" w:themeColor="text1"/>
          <w:sz w:val="24"/>
        </w:rPr>
        <w:fldChar w:fldCharType="begin"/>
      </w:r>
      <w:r w:rsidRPr="001564C7">
        <w:rPr>
          <w:color w:val="000000" w:themeColor="text1"/>
          <w:sz w:val="24"/>
        </w:rPr>
        <w:instrText xml:space="preserve"> SEQ Tablica \* ARABIC </w:instrText>
      </w:r>
      <w:r w:rsidRPr="001564C7">
        <w:rPr>
          <w:color w:val="000000" w:themeColor="text1"/>
          <w:sz w:val="24"/>
        </w:rPr>
        <w:fldChar w:fldCharType="separate"/>
      </w:r>
      <w:r w:rsidR="00BB6910">
        <w:rPr>
          <w:noProof/>
          <w:color w:val="000000" w:themeColor="text1"/>
          <w:sz w:val="24"/>
        </w:rPr>
        <w:t>2</w:t>
      </w:r>
      <w:r w:rsidRPr="001564C7">
        <w:rPr>
          <w:color w:val="000000" w:themeColor="text1"/>
          <w:sz w:val="24"/>
        </w:rPr>
        <w:fldChar w:fldCharType="end"/>
      </w:r>
      <w:r w:rsidRPr="001564C7">
        <w:rPr>
          <w:color w:val="000000" w:themeColor="text1"/>
          <w:sz w:val="24"/>
        </w:rPr>
        <w:t xml:space="preserve"> - Nazivi i definicije koje se primjenjuju u ISO 27001 [Zavod za ispitivanje kvalitete d.o.o, 2007., str. 4]</w:t>
      </w:r>
    </w:p>
    <w:tbl>
      <w:tblPr>
        <w:tblStyle w:val="TableGrid"/>
        <w:tblW w:w="0" w:type="auto"/>
        <w:tblLook w:val="04A0" w:firstRow="1" w:lastRow="0" w:firstColumn="1" w:lastColumn="0" w:noHBand="0" w:noVBand="1"/>
      </w:tblPr>
      <w:tblGrid>
        <w:gridCol w:w="3652"/>
        <w:gridCol w:w="5636"/>
      </w:tblGrid>
      <w:tr w:rsidR="009B6DDE" w:rsidRPr="000A75C5" w:rsidTr="008E09F2">
        <w:trPr>
          <w:trHeight w:val="567"/>
        </w:trPr>
        <w:tc>
          <w:tcPr>
            <w:tcW w:w="3652" w:type="dxa"/>
            <w:tcBorders>
              <w:bottom w:val="double" w:sz="4" w:space="0" w:color="auto"/>
            </w:tcBorders>
            <w:shd w:val="clear" w:color="auto" w:fill="D9D9D9" w:themeFill="background1" w:themeFillShade="D9"/>
            <w:vAlign w:val="center"/>
          </w:tcPr>
          <w:p w:rsidR="009B6DDE" w:rsidRPr="000A75C5" w:rsidRDefault="009B6DDE" w:rsidP="008E09F2">
            <w:pPr>
              <w:jc w:val="center"/>
              <w:rPr>
                <w:b/>
              </w:rPr>
            </w:pPr>
            <w:r w:rsidRPr="000A75C5">
              <w:rPr>
                <w:b/>
              </w:rPr>
              <w:t>Pojam</w:t>
            </w:r>
          </w:p>
        </w:tc>
        <w:tc>
          <w:tcPr>
            <w:tcW w:w="5636" w:type="dxa"/>
            <w:tcBorders>
              <w:bottom w:val="double" w:sz="4" w:space="0" w:color="auto"/>
            </w:tcBorders>
            <w:shd w:val="clear" w:color="auto" w:fill="D9D9D9" w:themeFill="background1" w:themeFillShade="D9"/>
            <w:vAlign w:val="center"/>
          </w:tcPr>
          <w:p w:rsidR="009B6DDE" w:rsidRPr="000A75C5" w:rsidRDefault="009B6DDE" w:rsidP="008E09F2">
            <w:pPr>
              <w:jc w:val="center"/>
              <w:rPr>
                <w:b/>
              </w:rPr>
            </w:pPr>
            <w:r w:rsidRPr="000A75C5">
              <w:rPr>
                <w:b/>
              </w:rPr>
              <w:t>Definicija</w:t>
            </w:r>
          </w:p>
        </w:tc>
      </w:tr>
      <w:tr w:rsidR="009B6DDE" w:rsidTr="008E09F2">
        <w:trPr>
          <w:trHeight w:val="567"/>
        </w:trPr>
        <w:tc>
          <w:tcPr>
            <w:tcW w:w="3652" w:type="dxa"/>
            <w:tcBorders>
              <w:top w:val="double" w:sz="4" w:space="0" w:color="auto"/>
            </w:tcBorders>
            <w:vAlign w:val="center"/>
          </w:tcPr>
          <w:p w:rsidR="009B6DDE" w:rsidRPr="000A75C5" w:rsidRDefault="009B6DDE" w:rsidP="008E09F2">
            <w:pPr>
              <w:spacing w:line="360" w:lineRule="auto"/>
              <w:rPr>
                <w:b/>
              </w:rPr>
            </w:pPr>
            <w:r w:rsidRPr="000A75C5">
              <w:rPr>
                <w:b/>
              </w:rPr>
              <w:t>Imovina</w:t>
            </w:r>
          </w:p>
        </w:tc>
        <w:tc>
          <w:tcPr>
            <w:tcW w:w="5636" w:type="dxa"/>
            <w:tcBorders>
              <w:top w:val="double" w:sz="4" w:space="0" w:color="auto"/>
            </w:tcBorders>
            <w:vAlign w:val="center"/>
          </w:tcPr>
          <w:p w:rsidR="009B6DDE" w:rsidRDefault="009B6DDE" w:rsidP="008E09F2">
            <w:pPr>
              <w:spacing w:line="360" w:lineRule="auto"/>
            </w:pPr>
            <w:r>
              <w:t>Sve što predstavlja vrijednost za organizaciju</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Dostupnost</w:t>
            </w:r>
          </w:p>
        </w:tc>
        <w:tc>
          <w:tcPr>
            <w:tcW w:w="5636" w:type="dxa"/>
            <w:vAlign w:val="center"/>
          </w:tcPr>
          <w:p w:rsidR="009B6DDE" w:rsidRDefault="009B6DDE" w:rsidP="008E09F2">
            <w:pPr>
              <w:spacing w:line="360" w:lineRule="auto"/>
            </w:pPr>
            <w:r>
              <w:t>Osobina dostupnosti i upotrebljivosti imovine na zahtjev ovlaštenog entiteta</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Povjerljivost</w:t>
            </w:r>
          </w:p>
        </w:tc>
        <w:tc>
          <w:tcPr>
            <w:tcW w:w="5636" w:type="dxa"/>
            <w:vAlign w:val="center"/>
          </w:tcPr>
          <w:p w:rsidR="009B6DDE" w:rsidRDefault="009B6DDE" w:rsidP="008E09F2">
            <w:pPr>
              <w:spacing w:line="360" w:lineRule="auto"/>
            </w:pPr>
            <w:r>
              <w:t>Osobina da informacija nije učinjena dostupnom ili otkrivena neovlaštenim osobama, entitetima ili procesima</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Informacijska sigurnost</w:t>
            </w:r>
          </w:p>
        </w:tc>
        <w:tc>
          <w:tcPr>
            <w:tcW w:w="5636" w:type="dxa"/>
            <w:vAlign w:val="center"/>
          </w:tcPr>
          <w:p w:rsidR="009B6DDE" w:rsidRDefault="009B6DDE" w:rsidP="008E09F2">
            <w:pPr>
              <w:spacing w:line="360" w:lineRule="auto"/>
            </w:pPr>
            <w:r w:rsidRPr="00C8350E">
              <w:t>Očuvanje povjerljivosti, integriteta i dostupnosti informacije uključiti se mogu i druge osobine kao što su vjerodostojnost, odgovornost, neporecivost i pouzdanost</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Sigurnosni događaj</w:t>
            </w:r>
          </w:p>
        </w:tc>
        <w:tc>
          <w:tcPr>
            <w:tcW w:w="5636" w:type="dxa"/>
            <w:vAlign w:val="center"/>
          </w:tcPr>
          <w:p w:rsidR="009B6DDE" w:rsidRDefault="009B6DDE" w:rsidP="008E09F2">
            <w:pPr>
              <w:spacing w:line="360" w:lineRule="auto"/>
            </w:pPr>
            <w:r>
              <w:t>P</w:t>
            </w:r>
            <w:r w:rsidRPr="00C8350E">
              <w:t>repoznatljiv slučaj stanja sustava, usluge ili mreže koji upućuje na moguću povredu politike informacijske sigurnosti ili neuspjeh zaštite ili do tada nepoznate okolnosti koje mogu biti važne za sigurnost</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Sigurnosni incident</w:t>
            </w:r>
          </w:p>
        </w:tc>
        <w:tc>
          <w:tcPr>
            <w:tcW w:w="5636" w:type="dxa"/>
            <w:vAlign w:val="center"/>
          </w:tcPr>
          <w:p w:rsidR="009B6DDE" w:rsidRDefault="009B6DDE" w:rsidP="008E09F2">
            <w:pPr>
              <w:spacing w:line="360" w:lineRule="auto"/>
            </w:pPr>
            <w:r>
              <w:t>Jedan ili više neželjenih ili neočekivanih sigurnosnih događaja koji imaju značajnu vjerojatnost ugrožavanja poslovnih aktivnosti i informacijske sigurnosti</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Sustav upravljanja informacijskom sigurnošću (ISMS)</w:t>
            </w:r>
          </w:p>
        </w:tc>
        <w:tc>
          <w:tcPr>
            <w:tcW w:w="5636" w:type="dxa"/>
            <w:vAlign w:val="center"/>
          </w:tcPr>
          <w:p w:rsidR="009B6DDE" w:rsidRDefault="009B6DDE" w:rsidP="008E09F2">
            <w:pPr>
              <w:spacing w:line="360" w:lineRule="auto"/>
            </w:pPr>
            <w:r w:rsidRPr="00D8492D">
              <w:t>Dio cjelokupnog sustava upravljanja, temeljen na pristupu sa stane poslovnih rizika, kako bi uspostavio, implementirao, nadzirao, provjeravao, održavao i unapređivao informacijsku sigurnost.</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Integritet</w:t>
            </w:r>
          </w:p>
        </w:tc>
        <w:tc>
          <w:tcPr>
            <w:tcW w:w="5636" w:type="dxa"/>
            <w:vAlign w:val="center"/>
          </w:tcPr>
          <w:p w:rsidR="009B6DDE" w:rsidRDefault="009B6DDE" w:rsidP="008E09F2">
            <w:pPr>
              <w:spacing w:line="360" w:lineRule="auto"/>
            </w:pPr>
            <w:r w:rsidRPr="00D8492D">
              <w:t>Osobina očuvanja autentičnosti i cjelovitosti imovine</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Rezidualni rizik</w:t>
            </w:r>
          </w:p>
        </w:tc>
        <w:tc>
          <w:tcPr>
            <w:tcW w:w="5636" w:type="dxa"/>
            <w:vAlign w:val="center"/>
          </w:tcPr>
          <w:p w:rsidR="009B6DDE" w:rsidRDefault="009B6DDE" w:rsidP="008E09F2">
            <w:pPr>
              <w:spacing w:line="360" w:lineRule="auto"/>
            </w:pPr>
            <w:r w:rsidRPr="00D8492D">
              <w:t>Preostali rizik nakon obrade rizika</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Prihvaćanje rizika</w:t>
            </w:r>
          </w:p>
        </w:tc>
        <w:tc>
          <w:tcPr>
            <w:tcW w:w="5636" w:type="dxa"/>
            <w:vAlign w:val="center"/>
          </w:tcPr>
          <w:p w:rsidR="009B6DDE" w:rsidRDefault="009B6DDE" w:rsidP="008E09F2">
            <w:pPr>
              <w:spacing w:line="360" w:lineRule="auto"/>
            </w:pPr>
            <w:r w:rsidRPr="00D8492D">
              <w:t>Odlika da se rizik prihvati</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lastRenderedPageBreak/>
              <w:t>Analiza rizika</w:t>
            </w:r>
          </w:p>
        </w:tc>
        <w:tc>
          <w:tcPr>
            <w:tcW w:w="5636" w:type="dxa"/>
            <w:vAlign w:val="center"/>
          </w:tcPr>
          <w:p w:rsidR="009B6DDE" w:rsidRDefault="009B6DDE" w:rsidP="008E09F2">
            <w:pPr>
              <w:spacing w:line="360" w:lineRule="auto"/>
            </w:pPr>
            <w:r w:rsidRPr="00D8492D">
              <w:t>Sustavna uporaba informacija za određivanje izvora i procjenu rizika</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Procjena rizika</w:t>
            </w:r>
          </w:p>
        </w:tc>
        <w:tc>
          <w:tcPr>
            <w:tcW w:w="5636" w:type="dxa"/>
            <w:vAlign w:val="center"/>
          </w:tcPr>
          <w:p w:rsidR="009B6DDE" w:rsidRDefault="009B6DDE" w:rsidP="008E09F2">
            <w:pPr>
              <w:spacing w:line="360" w:lineRule="auto"/>
            </w:pPr>
            <w:r w:rsidRPr="00D8492D">
              <w:t>Cjelokupan proces analize i njegovo vrednovanje</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Vrednovanje rizika</w:t>
            </w:r>
          </w:p>
        </w:tc>
        <w:tc>
          <w:tcPr>
            <w:tcW w:w="5636" w:type="dxa"/>
            <w:vAlign w:val="center"/>
          </w:tcPr>
          <w:p w:rsidR="009B6DDE" w:rsidRDefault="009B6DDE" w:rsidP="008E09F2">
            <w:pPr>
              <w:spacing w:line="360" w:lineRule="auto"/>
            </w:pPr>
            <w:r>
              <w:t>Proces usporedbe procijenjenog rizika sa danim kriterijima, kako bi se ustanovio značaj rizika</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Upravljanje rizikom</w:t>
            </w:r>
          </w:p>
        </w:tc>
        <w:tc>
          <w:tcPr>
            <w:tcW w:w="5636" w:type="dxa"/>
            <w:vAlign w:val="center"/>
          </w:tcPr>
          <w:p w:rsidR="009B6DDE" w:rsidRDefault="009B6DDE" w:rsidP="008E09F2">
            <w:pPr>
              <w:spacing w:line="360" w:lineRule="auto"/>
            </w:pPr>
            <w:r>
              <w:t>Usklađene aktivnosti za usmjeravanje i kontrolu organizacije u smislu rizika</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Obrada rizika</w:t>
            </w:r>
          </w:p>
        </w:tc>
        <w:tc>
          <w:tcPr>
            <w:tcW w:w="5636" w:type="dxa"/>
            <w:vAlign w:val="center"/>
          </w:tcPr>
          <w:p w:rsidR="009B6DDE" w:rsidRDefault="009B6DDE" w:rsidP="008E09F2">
            <w:pPr>
              <w:spacing w:line="360" w:lineRule="auto"/>
            </w:pPr>
            <w:r w:rsidRPr="00D8492D">
              <w:t>Proces odabira i primjene mjera za promjenu rizika</w:t>
            </w:r>
          </w:p>
        </w:tc>
      </w:tr>
      <w:tr w:rsidR="009B6DDE" w:rsidTr="008E09F2">
        <w:trPr>
          <w:trHeight w:val="567"/>
        </w:trPr>
        <w:tc>
          <w:tcPr>
            <w:tcW w:w="3652" w:type="dxa"/>
            <w:vAlign w:val="center"/>
          </w:tcPr>
          <w:p w:rsidR="009B6DDE" w:rsidRPr="000A75C5" w:rsidRDefault="009B6DDE" w:rsidP="008E09F2">
            <w:pPr>
              <w:spacing w:line="360" w:lineRule="auto"/>
              <w:rPr>
                <w:b/>
              </w:rPr>
            </w:pPr>
            <w:r w:rsidRPr="000A75C5">
              <w:rPr>
                <w:b/>
              </w:rPr>
              <w:t>Izjava o primjenjivosti</w:t>
            </w:r>
          </w:p>
        </w:tc>
        <w:tc>
          <w:tcPr>
            <w:tcW w:w="5636" w:type="dxa"/>
            <w:vAlign w:val="center"/>
          </w:tcPr>
          <w:p w:rsidR="009B6DDE" w:rsidRDefault="009B6DDE" w:rsidP="008E09F2">
            <w:pPr>
              <w:spacing w:line="360" w:lineRule="auto"/>
            </w:pPr>
            <w:r w:rsidRPr="00D8492D">
              <w:t>Dokumentirana izjava koja opisuje ciljeve kontrola i kontrole koje su relevantne i primjenjive na ISMS organizacije</w:t>
            </w:r>
          </w:p>
        </w:tc>
      </w:tr>
    </w:tbl>
    <w:p w:rsidR="00404947" w:rsidRDefault="00404947" w:rsidP="009B6DDE">
      <w:pPr>
        <w:pStyle w:val="Heading1"/>
        <w:spacing w:line="480" w:lineRule="auto"/>
      </w:pPr>
      <w:bookmarkStart w:id="9" w:name="_Toc375037919"/>
    </w:p>
    <w:p w:rsidR="00404947" w:rsidRDefault="00404947">
      <w:pPr>
        <w:rPr>
          <w:rFonts w:asciiTheme="majorHAnsi" w:eastAsiaTheme="majorEastAsia" w:hAnsiTheme="majorHAnsi" w:cstheme="majorBidi"/>
          <w:b/>
          <w:bCs/>
          <w:color w:val="365F91" w:themeColor="accent1" w:themeShade="BF"/>
          <w:sz w:val="28"/>
          <w:szCs w:val="28"/>
        </w:rPr>
      </w:pPr>
      <w:r>
        <w:br w:type="page"/>
      </w:r>
    </w:p>
    <w:p w:rsidR="009B6DDE" w:rsidRDefault="009B6DDE" w:rsidP="009B6DDE">
      <w:pPr>
        <w:pStyle w:val="Heading1"/>
        <w:spacing w:line="480" w:lineRule="auto"/>
      </w:pPr>
      <w:bookmarkStart w:id="10" w:name="_Toc377039885"/>
      <w:r>
        <w:lastRenderedPageBreak/>
        <w:t>5.ISMS</w:t>
      </w:r>
      <w:bookmarkEnd w:id="9"/>
      <w:bookmarkEnd w:id="10"/>
    </w:p>
    <w:p w:rsidR="009B6DDE" w:rsidRDefault="009B6DDE" w:rsidP="009B6DDE">
      <w:pPr>
        <w:spacing w:line="360" w:lineRule="auto"/>
        <w:jc w:val="both"/>
      </w:pPr>
      <w:r>
        <w:t xml:space="preserve">Kao što mu i sam naziv govori, ISMS (eng. </w:t>
      </w:r>
      <w:r>
        <w:rPr>
          <w:i/>
        </w:rPr>
        <w:t>Information Security Management Systems</w:t>
      </w:r>
      <w:r>
        <w:t xml:space="preserve">) je sustav upravljanja informacijskom sigurnošću. U tekstu prije je navedeno kako ISMS, prema ISO 27001 normi, pruža sustavan pristup upravljanju osjetljivim informacijama kako bi ih zaštitio i </w:t>
      </w:r>
      <w:r w:rsidRPr="004B3A30">
        <w:t>obuhvaća sve što je unutar organizacije</w:t>
      </w:r>
      <w:r>
        <w:t>, a tiče se</w:t>
      </w:r>
      <w:r w:rsidRPr="004B3A30">
        <w:t xml:space="preserve"> procesa, informacijske imovine </w:t>
      </w:r>
      <w:r>
        <w:t>i</w:t>
      </w:r>
      <w:r w:rsidRPr="004B3A30">
        <w:t xml:space="preserve"> zaposlenika</w:t>
      </w:r>
      <w:r>
        <w:t>. ISMS također možemo nazvati „sredstvo“ kojim uprava neke organizacije prati i nadzire sigurnost IS-a. Za izgradnju sustava upravljanja informacijskom sigurnošću potreban je PDCA model (spomenut u prethodnim poglavljima), koji se kontinuirano provodi. Izgradnja samog ISMS-a je iterativni proces koji se neprestano nadograđuje i poboljšava.</w:t>
      </w:r>
    </w:p>
    <w:p w:rsidR="009B6DDE" w:rsidRDefault="009B6DDE" w:rsidP="009B6DDE">
      <w:pPr>
        <w:spacing w:line="360" w:lineRule="auto"/>
        <w:jc w:val="both"/>
      </w:pPr>
      <w:r>
        <w:t>Ključni koraci koji vode do uspješne izgradnje ISMS-a i primjene ISO 27001 norme navedeni su u sljedećim potpoglavljima.</w:t>
      </w:r>
    </w:p>
    <w:p w:rsidR="00DC568D" w:rsidRDefault="00DC568D" w:rsidP="009B6DDE">
      <w:pPr>
        <w:spacing w:line="360" w:lineRule="auto"/>
        <w:jc w:val="both"/>
      </w:pPr>
      <w:r>
        <w:t>Ukratko, svi koraci prikazani su na mentalnoj mapi, a kasnije kroz tekst i opisani.</w:t>
      </w:r>
    </w:p>
    <w:p w:rsidR="00A3328E" w:rsidRDefault="0035675D" w:rsidP="00A3328E">
      <w:pPr>
        <w:keepNext/>
        <w:spacing w:line="360" w:lineRule="auto"/>
        <w:jc w:val="center"/>
      </w:pPr>
      <w:r>
        <w:rPr>
          <w:noProof/>
          <w:lang w:eastAsia="hr-HR"/>
        </w:rPr>
        <w:drawing>
          <wp:inline distT="0" distB="0" distL="0" distR="0" wp14:anchorId="107960C8" wp14:editId="1B8291AE">
            <wp:extent cx="6162197"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_isms.png"/>
                    <pic:cNvPicPr/>
                  </pic:nvPicPr>
                  <pic:blipFill>
                    <a:blip r:embed="rId11">
                      <a:extLst>
                        <a:ext uri="{28A0092B-C50C-407E-A947-70E740481C1C}">
                          <a14:useLocalDpi xmlns:a14="http://schemas.microsoft.com/office/drawing/2010/main" val="0"/>
                        </a:ext>
                      </a:extLst>
                    </a:blip>
                    <a:stretch>
                      <a:fillRect/>
                    </a:stretch>
                  </pic:blipFill>
                  <pic:spPr>
                    <a:xfrm>
                      <a:off x="0" y="0"/>
                      <a:ext cx="6160160" cy="2513769"/>
                    </a:xfrm>
                    <a:prstGeom prst="rect">
                      <a:avLst/>
                    </a:prstGeom>
                  </pic:spPr>
                </pic:pic>
              </a:graphicData>
            </a:graphic>
          </wp:inline>
        </w:drawing>
      </w:r>
    </w:p>
    <w:p w:rsidR="00DC568D" w:rsidRPr="00A3328E" w:rsidRDefault="00A3328E" w:rsidP="00A3328E">
      <w:pPr>
        <w:pStyle w:val="Caption"/>
        <w:jc w:val="center"/>
        <w:rPr>
          <w:color w:val="000000" w:themeColor="text1"/>
          <w:sz w:val="24"/>
          <w:szCs w:val="24"/>
        </w:rPr>
      </w:pPr>
      <w:bookmarkStart w:id="11" w:name="_Ref375998232"/>
      <w:r w:rsidRPr="00A3328E">
        <w:rPr>
          <w:color w:val="000000" w:themeColor="text1"/>
          <w:sz w:val="24"/>
          <w:szCs w:val="24"/>
        </w:rPr>
        <w:t xml:space="preserve">Slika </w:t>
      </w:r>
      <w:r w:rsidRPr="00A3328E">
        <w:rPr>
          <w:color w:val="000000" w:themeColor="text1"/>
          <w:sz w:val="24"/>
          <w:szCs w:val="24"/>
        </w:rPr>
        <w:fldChar w:fldCharType="begin"/>
      </w:r>
      <w:r w:rsidRPr="00A3328E">
        <w:rPr>
          <w:color w:val="000000" w:themeColor="text1"/>
          <w:sz w:val="24"/>
          <w:szCs w:val="24"/>
        </w:rPr>
        <w:instrText xml:space="preserve"> SEQ Slika \* ARABIC </w:instrText>
      </w:r>
      <w:r w:rsidRPr="00A3328E">
        <w:rPr>
          <w:color w:val="000000" w:themeColor="text1"/>
          <w:sz w:val="24"/>
          <w:szCs w:val="24"/>
        </w:rPr>
        <w:fldChar w:fldCharType="separate"/>
      </w:r>
      <w:r w:rsidR="00BB6910">
        <w:rPr>
          <w:noProof/>
          <w:color w:val="000000" w:themeColor="text1"/>
          <w:sz w:val="24"/>
          <w:szCs w:val="24"/>
        </w:rPr>
        <w:t>2</w:t>
      </w:r>
      <w:r w:rsidRPr="00A3328E">
        <w:rPr>
          <w:color w:val="000000" w:themeColor="text1"/>
          <w:sz w:val="24"/>
          <w:szCs w:val="24"/>
        </w:rPr>
        <w:fldChar w:fldCharType="end"/>
      </w:r>
      <w:bookmarkEnd w:id="11"/>
      <w:r w:rsidRPr="00A3328E">
        <w:rPr>
          <w:color w:val="000000" w:themeColor="text1"/>
          <w:sz w:val="24"/>
          <w:szCs w:val="24"/>
        </w:rPr>
        <w:t xml:space="preserve"> - Koraci u izgradnji ISMS-a</w:t>
      </w:r>
    </w:p>
    <w:p w:rsidR="009B6DDE" w:rsidRDefault="009B6DDE" w:rsidP="009B6DDE">
      <w:pPr>
        <w:pStyle w:val="Heading2"/>
        <w:spacing w:line="480" w:lineRule="auto"/>
      </w:pPr>
      <w:bookmarkStart w:id="12" w:name="_Toc375037920"/>
      <w:bookmarkStart w:id="13" w:name="_Toc377039886"/>
      <w:r>
        <w:t>5.1.Opći zahtjevi</w:t>
      </w:r>
      <w:bookmarkEnd w:id="12"/>
      <w:bookmarkEnd w:id="13"/>
    </w:p>
    <w:p w:rsidR="009B6DDE" w:rsidRPr="001849E0" w:rsidRDefault="009B6DDE" w:rsidP="009B6DDE">
      <w:pPr>
        <w:spacing w:line="360" w:lineRule="auto"/>
        <w:jc w:val="both"/>
        <w:rPr>
          <w:vertAlign w:val="superscript"/>
        </w:rPr>
      </w:pPr>
      <w:r>
        <w:t xml:space="preserve">Što se tiče općih zahtjeva, za organizaciju je važno upostaviti, implementirati, izvršavati, nadzirati, održavati i poboljšavati dokumentirani ISMS unutar konteksta cjelokupnih poslovnih aktivnosti organizacije i </w:t>
      </w:r>
      <w:r w:rsidR="007A3F23">
        <w:t>rizika s kojima se ona suočava [</w:t>
      </w:r>
      <w:r w:rsidR="007A3F23" w:rsidRPr="007A3F23">
        <w:t>Zavod za ispitivanje kvalitete d.o.o.</w:t>
      </w:r>
      <w:r w:rsidR="007A3F23">
        <w:t>, 2007, str. 6].</w:t>
      </w:r>
    </w:p>
    <w:p w:rsidR="009B6DDE" w:rsidRDefault="009B6DDE" w:rsidP="009B6DDE">
      <w:pPr>
        <w:pStyle w:val="Heading2"/>
        <w:spacing w:line="480" w:lineRule="auto"/>
      </w:pPr>
      <w:bookmarkStart w:id="14" w:name="_Toc375037921"/>
      <w:bookmarkStart w:id="15" w:name="_Toc377039887"/>
      <w:r>
        <w:lastRenderedPageBreak/>
        <w:t>5.2.</w:t>
      </w:r>
      <w:bookmarkEnd w:id="14"/>
      <w:r w:rsidR="00F6789B">
        <w:t>Uspostavljanje i upravljanje ISMS-om</w:t>
      </w:r>
      <w:bookmarkEnd w:id="15"/>
      <w:r>
        <w:t xml:space="preserve"> </w:t>
      </w:r>
    </w:p>
    <w:p w:rsidR="009B6DDE" w:rsidRDefault="00407335" w:rsidP="009B6DDE">
      <w:pPr>
        <w:spacing w:line="360" w:lineRule="auto"/>
        <w:jc w:val="both"/>
        <w:rPr>
          <w:noProof/>
          <w:lang w:eastAsia="hr-HR"/>
        </w:rPr>
      </w:pPr>
      <w:r>
        <w:rPr>
          <w:noProof/>
          <w:lang w:eastAsia="hr-HR"/>
        </w:rPr>
        <w:t>Što se tiče uspostavljanja i upravljanja ISMS-om, ono se dijeli na četiri podgrupe:</w:t>
      </w:r>
      <w:r w:rsidR="007A3F23">
        <w:rPr>
          <w:noProof/>
          <w:lang w:eastAsia="hr-HR"/>
        </w:rPr>
        <w:t xml:space="preserve"> </w:t>
      </w:r>
      <w:r w:rsidR="007A3F23">
        <w:t>[</w:t>
      </w:r>
      <w:r w:rsidR="007A3F23" w:rsidRPr="007A3F23">
        <w:t>Zavod za ispitivanje kvalitete d.o.o.</w:t>
      </w:r>
      <w:r w:rsidR="007A3F23">
        <w:t>, 2007, str. 6-9]</w:t>
      </w:r>
    </w:p>
    <w:p w:rsidR="00407335" w:rsidRPr="005C58D0" w:rsidRDefault="00407335" w:rsidP="00407335">
      <w:pPr>
        <w:pStyle w:val="ListParagraph"/>
        <w:numPr>
          <w:ilvl w:val="0"/>
          <w:numId w:val="1"/>
        </w:numPr>
        <w:spacing w:line="360" w:lineRule="auto"/>
        <w:jc w:val="both"/>
        <w:rPr>
          <w:b/>
        </w:rPr>
      </w:pPr>
      <w:r w:rsidRPr="00407335">
        <w:rPr>
          <w:b/>
        </w:rPr>
        <w:t>Uspostaviti ISMS</w:t>
      </w:r>
    </w:p>
    <w:p w:rsidR="005C58D0" w:rsidRDefault="0023631A" w:rsidP="0023631A">
      <w:pPr>
        <w:pStyle w:val="ListParagraph"/>
        <w:spacing w:line="360" w:lineRule="auto"/>
        <w:jc w:val="both"/>
      </w:pPr>
      <w:r w:rsidRPr="0023631A">
        <w:t>Da bi se uopće uspostavio ISMS</w:t>
      </w:r>
      <w:r>
        <w:t>, organizacija mora poduzeti nekoliko koraka, a to su:</w:t>
      </w:r>
    </w:p>
    <w:p w:rsidR="0023631A" w:rsidRDefault="0023631A" w:rsidP="0023631A">
      <w:pPr>
        <w:pStyle w:val="ListParagraph"/>
        <w:numPr>
          <w:ilvl w:val="1"/>
          <w:numId w:val="1"/>
        </w:numPr>
        <w:spacing w:line="360" w:lineRule="auto"/>
        <w:jc w:val="both"/>
      </w:pPr>
      <w:r>
        <w:t>Određivanje opsega i granica ISMS-a</w:t>
      </w:r>
    </w:p>
    <w:p w:rsidR="0023631A" w:rsidRDefault="0023631A" w:rsidP="0023631A">
      <w:pPr>
        <w:pStyle w:val="ListParagraph"/>
        <w:numPr>
          <w:ilvl w:val="1"/>
          <w:numId w:val="1"/>
        </w:numPr>
        <w:spacing w:line="360" w:lineRule="auto"/>
        <w:jc w:val="both"/>
      </w:pPr>
      <w:r>
        <w:t>Definiranje politike ISMS-a</w:t>
      </w:r>
    </w:p>
    <w:p w:rsidR="0023631A" w:rsidRDefault="0023631A" w:rsidP="0023631A">
      <w:pPr>
        <w:pStyle w:val="ListParagraph"/>
        <w:numPr>
          <w:ilvl w:val="1"/>
          <w:numId w:val="1"/>
        </w:numPr>
        <w:spacing w:line="360" w:lineRule="auto"/>
        <w:jc w:val="both"/>
      </w:pPr>
      <w:r>
        <w:t>Definiranje pristupa organizacije procjeni rizika</w:t>
      </w:r>
    </w:p>
    <w:p w:rsidR="0023631A" w:rsidRDefault="0023631A" w:rsidP="0023631A">
      <w:pPr>
        <w:pStyle w:val="ListParagraph"/>
        <w:numPr>
          <w:ilvl w:val="1"/>
          <w:numId w:val="1"/>
        </w:numPr>
        <w:spacing w:line="360" w:lineRule="auto"/>
        <w:jc w:val="both"/>
      </w:pPr>
      <w:r>
        <w:t>Identifikacija rizika</w:t>
      </w:r>
    </w:p>
    <w:p w:rsidR="0023631A" w:rsidRDefault="0023631A" w:rsidP="0023631A">
      <w:pPr>
        <w:pStyle w:val="ListParagraph"/>
        <w:numPr>
          <w:ilvl w:val="1"/>
          <w:numId w:val="1"/>
        </w:numPr>
        <w:spacing w:line="360" w:lineRule="auto"/>
        <w:jc w:val="both"/>
      </w:pPr>
      <w:r>
        <w:t>Analiza i vrednovanje rizika</w:t>
      </w:r>
    </w:p>
    <w:p w:rsidR="0023631A" w:rsidRDefault="0023631A" w:rsidP="0023631A">
      <w:pPr>
        <w:pStyle w:val="ListParagraph"/>
        <w:numPr>
          <w:ilvl w:val="1"/>
          <w:numId w:val="1"/>
        </w:numPr>
        <w:spacing w:line="360" w:lineRule="auto"/>
        <w:jc w:val="both"/>
      </w:pPr>
      <w:r>
        <w:t>Identifikacija i vrednovanje opcija za obradu rizika</w:t>
      </w:r>
    </w:p>
    <w:p w:rsidR="0023631A" w:rsidRDefault="0023631A" w:rsidP="0023631A">
      <w:pPr>
        <w:pStyle w:val="ListParagraph"/>
        <w:numPr>
          <w:ilvl w:val="1"/>
          <w:numId w:val="1"/>
        </w:numPr>
        <w:spacing w:line="360" w:lineRule="auto"/>
        <w:jc w:val="both"/>
      </w:pPr>
      <w:r>
        <w:t>Odabir ciljeva kontrola i kontrola za obradu rizika</w:t>
      </w:r>
    </w:p>
    <w:p w:rsidR="0023631A" w:rsidRDefault="0023631A" w:rsidP="0023631A">
      <w:pPr>
        <w:pStyle w:val="ListParagraph"/>
        <w:numPr>
          <w:ilvl w:val="1"/>
          <w:numId w:val="1"/>
        </w:numPr>
        <w:spacing w:line="360" w:lineRule="auto"/>
        <w:jc w:val="both"/>
      </w:pPr>
      <w:r>
        <w:t>Dobivanje odobrenja uprave za predložene rezidualne rizike</w:t>
      </w:r>
    </w:p>
    <w:p w:rsidR="0023631A" w:rsidRDefault="0023631A" w:rsidP="0023631A">
      <w:pPr>
        <w:pStyle w:val="ListParagraph"/>
        <w:numPr>
          <w:ilvl w:val="1"/>
          <w:numId w:val="1"/>
        </w:numPr>
        <w:spacing w:line="360" w:lineRule="auto"/>
        <w:jc w:val="both"/>
      </w:pPr>
      <w:r>
        <w:t>Dobivanje ovlaštenja uprave za implementaciju i izvršavanje ISMS-a</w:t>
      </w:r>
    </w:p>
    <w:p w:rsidR="0023631A" w:rsidRPr="0023631A" w:rsidRDefault="00915523" w:rsidP="0023631A">
      <w:pPr>
        <w:pStyle w:val="ListParagraph"/>
        <w:numPr>
          <w:ilvl w:val="1"/>
          <w:numId w:val="1"/>
        </w:numPr>
        <w:spacing w:line="360" w:lineRule="auto"/>
        <w:jc w:val="both"/>
      </w:pPr>
      <w:r>
        <w:t>Priprema Izjave o primjenjivosti</w:t>
      </w:r>
    </w:p>
    <w:p w:rsidR="00407335" w:rsidRPr="00AD25E1" w:rsidRDefault="00407335" w:rsidP="00407335">
      <w:pPr>
        <w:pStyle w:val="ListParagraph"/>
        <w:numPr>
          <w:ilvl w:val="0"/>
          <w:numId w:val="1"/>
        </w:numPr>
        <w:spacing w:line="360" w:lineRule="auto"/>
        <w:jc w:val="both"/>
        <w:rPr>
          <w:b/>
        </w:rPr>
      </w:pPr>
      <w:r w:rsidRPr="00407335">
        <w:rPr>
          <w:b/>
        </w:rPr>
        <w:t>Implementirati i izvršavati ISMS</w:t>
      </w:r>
    </w:p>
    <w:p w:rsidR="00AD25E1" w:rsidRDefault="00F478F2" w:rsidP="00AD25E1">
      <w:pPr>
        <w:pStyle w:val="ListParagraph"/>
        <w:spacing w:line="360" w:lineRule="auto"/>
        <w:jc w:val="both"/>
      </w:pPr>
      <w:r>
        <w:t>Nakon što su se ispunili svi uvjeti za uspostavu ISMS-a, sljedi korak implementacije i izvršavanja ISMS-a:</w:t>
      </w:r>
    </w:p>
    <w:p w:rsidR="00F478F2" w:rsidRDefault="00F478F2" w:rsidP="00F478F2">
      <w:pPr>
        <w:pStyle w:val="ListParagraph"/>
        <w:numPr>
          <w:ilvl w:val="0"/>
          <w:numId w:val="2"/>
        </w:numPr>
        <w:spacing w:line="360" w:lineRule="auto"/>
        <w:jc w:val="both"/>
      </w:pPr>
      <w:r>
        <w:t>Formulacija plana za obradu rizika</w:t>
      </w:r>
    </w:p>
    <w:p w:rsidR="00F478F2" w:rsidRDefault="00F478F2" w:rsidP="00F478F2">
      <w:pPr>
        <w:pStyle w:val="ListParagraph"/>
        <w:numPr>
          <w:ilvl w:val="0"/>
          <w:numId w:val="2"/>
        </w:numPr>
        <w:spacing w:line="360" w:lineRule="auto"/>
        <w:jc w:val="both"/>
      </w:pPr>
      <w:r>
        <w:t>Implementacija plana za obradu rizika</w:t>
      </w:r>
    </w:p>
    <w:p w:rsidR="00F478F2" w:rsidRDefault="00F478F2" w:rsidP="00F478F2">
      <w:pPr>
        <w:pStyle w:val="ListParagraph"/>
        <w:numPr>
          <w:ilvl w:val="0"/>
          <w:numId w:val="2"/>
        </w:numPr>
        <w:spacing w:line="360" w:lineRule="auto"/>
        <w:jc w:val="both"/>
      </w:pPr>
      <w:r>
        <w:t>Implementacija odabranih kontrola kako bi se zadovoljili ciljevi kontrola</w:t>
      </w:r>
    </w:p>
    <w:p w:rsidR="00F478F2" w:rsidRDefault="00F478F2" w:rsidP="00F478F2">
      <w:pPr>
        <w:pStyle w:val="ListParagraph"/>
        <w:numPr>
          <w:ilvl w:val="0"/>
          <w:numId w:val="2"/>
        </w:numPr>
        <w:spacing w:line="360" w:lineRule="auto"/>
        <w:jc w:val="both"/>
      </w:pPr>
      <w:r>
        <w:t>Određivanje načina mjerenja učinkovitosti odabranih kontrola ili grupa kontrola</w:t>
      </w:r>
    </w:p>
    <w:p w:rsidR="00F478F2" w:rsidRDefault="00F478F2" w:rsidP="00F478F2">
      <w:pPr>
        <w:pStyle w:val="ListParagraph"/>
        <w:numPr>
          <w:ilvl w:val="0"/>
          <w:numId w:val="2"/>
        </w:numPr>
        <w:spacing w:line="360" w:lineRule="auto"/>
        <w:jc w:val="both"/>
      </w:pPr>
      <w:r>
        <w:t>Implementacija programa obuke i podizanja svijesti o informacijskoj sigurnosti</w:t>
      </w:r>
    </w:p>
    <w:p w:rsidR="00F478F2" w:rsidRDefault="00F478F2" w:rsidP="00F478F2">
      <w:pPr>
        <w:pStyle w:val="ListParagraph"/>
        <w:numPr>
          <w:ilvl w:val="0"/>
          <w:numId w:val="2"/>
        </w:numPr>
        <w:spacing w:line="360" w:lineRule="auto"/>
        <w:jc w:val="both"/>
      </w:pPr>
      <w:r>
        <w:t>Upravljanje izvršavanjem ISMS-a</w:t>
      </w:r>
    </w:p>
    <w:p w:rsidR="00F478F2" w:rsidRDefault="00F478F2" w:rsidP="00F478F2">
      <w:pPr>
        <w:pStyle w:val="ListParagraph"/>
        <w:numPr>
          <w:ilvl w:val="0"/>
          <w:numId w:val="2"/>
        </w:numPr>
        <w:spacing w:line="360" w:lineRule="auto"/>
        <w:jc w:val="both"/>
      </w:pPr>
      <w:r>
        <w:t>Upravljanje resursima za ISMS</w:t>
      </w:r>
    </w:p>
    <w:p w:rsidR="00F478F2" w:rsidRPr="00AD25E1" w:rsidRDefault="00F478F2" w:rsidP="00F478F2">
      <w:pPr>
        <w:pStyle w:val="ListParagraph"/>
        <w:numPr>
          <w:ilvl w:val="0"/>
          <w:numId w:val="2"/>
        </w:numPr>
        <w:spacing w:line="360" w:lineRule="auto"/>
        <w:jc w:val="both"/>
      </w:pPr>
      <w:r>
        <w:t>Implementacija procedure i drugih kontrola sposobnih za omogućavanje pravovremene detekcije sigurnosnih događaja i odgovor na sigurnosne incidente</w:t>
      </w:r>
    </w:p>
    <w:p w:rsidR="00407335" w:rsidRPr="00CE67BB" w:rsidRDefault="00407335" w:rsidP="00407335">
      <w:pPr>
        <w:pStyle w:val="ListParagraph"/>
        <w:numPr>
          <w:ilvl w:val="0"/>
          <w:numId w:val="1"/>
        </w:numPr>
        <w:spacing w:line="360" w:lineRule="auto"/>
        <w:jc w:val="both"/>
        <w:rPr>
          <w:b/>
        </w:rPr>
      </w:pPr>
      <w:r w:rsidRPr="00407335">
        <w:rPr>
          <w:b/>
        </w:rPr>
        <w:t>Nadzirati i provjeravati ISMS</w:t>
      </w:r>
    </w:p>
    <w:p w:rsidR="00CE67BB" w:rsidRDefault="00CE67BB" w:rsidP="00CE67BB">
      <w:pPr>
        <w:pStyle w:val="ListParagraph"/>
        <w:spacing w:line="360" w:lineRule="auto"/>
        <w:jc w:val="both"/>
      </w:pPr>
      <w:r>
        <w:t xml:space="preserve">Za provođenje implementacije i izvršavanja ISMS-a može se reći da je posljednji korak u uspostavi ISMS-a. Nakon što organizacija uspješno provede cjelokupnu </w:t>
      </w:r>
      <w:r>
        <w:lastRenderedPageBreak/>
        <w:t>uspostavu ISMS-a, na red dolazi kontrola, odnosno nadziranje i provjera ISMS-a, a koja obuhvaća sljedeće:</w:t>
      </w:r>
    </w:p>
    <w:p w:rsidR="00CE67BB" w:rsidRDefault="00CE67BB" w:rsidP="00CE67BB">
      <w:pPr>
        <w:pStyle w:val="ListParagraph"/>
        <w:numPr>
          <w:ilvl w:val="0"/>
          <w:numId w:val="3"/>
        </w:numPr>
        <w:spacing w:line="360" w:lineRule="auto"/>
        <w:jc w:val="both"/>
      </w:pPr>
      <w:r>
        <w:t>Izvršavanje procedure nadzora i provjere, te ostale kontrole</w:t>
      </w:r>
    </w:p>
    <w:p w:rsidR="00CE67BB" w:rsidRDefault="00CE67BB" w:rsidP="00CE67BB">
      <w:pPr>
        <w:pStyle w:val="ListParagraph"/>
        <w:numPr>
          <w:ilvl w:val="0"/>
          <w:numId w:val="3"/>
        </w:numPr>
        <w:spacing w:line="360" w:lineRule="auto"/>
        <w:jc w:val="both"/>
      </w:pPr>
      <w:r>
        <w:t>Izvođenje redovite provjere učinkovitosti ISMS-a</w:t>
      </w:r>
    </w:p>
    <w:p w:rsidR="00CE67BB" w:rsidRDefault="00CE67BB" w:rsidP="00CE67BB">
      <w:pPr>
        <w:pStyle w:val="ListParagraph"/>
        <w:numPr>
          <w:ilvl w:val="0"/>
          <w:numId w:val="3"/>
        </w:numPr>
        <w:spacing w:line="360" w:lineRule="auto"/>
        <w:jc w:val="both"/>
      </w:pPr>
      <w:r>
        <w:t>Mjerenje učinkovitosti kontrola (svrha: provjera da li su sigurnosni zahtjevi zadovoljeni)</w:t>
      </w:r>
    </w:p>
    <w:p w:rsidR="00CE67BB" w:rsidRDefault="00CE67BB" w:rsidP="00CE67BB">
      <w:pPr>
        <w:pStyle w:val="ListParagraph"/>
        <w:numPr>
          <w:ilvl w:val="0"/>
          <w:numId w:val="3"/>
        </w:numPr>
        <w:spacing w:line="360" w:lineRule="auto"/>
        <w:jc w:val="both"/>
      </w:pPr>
      <w:r>
        <w:t>Provjeravanje procjene rizika u planiranim intervalima</w:t>
      </w:r>
    </w:p>
    <w:p w:rsidR="00CE67BB" w:rsidRDefault="00CE67BB" w:rsidP="00CE67BB">
      <w:pPr>
        <w:pStyle w:val="ListParagraph"/>
        <w:numPr>
          <w:ilvl w:val="0"/>
          <w:numId w:val="3"/>
        </w:numPr>
        <w:spacing w:line="360" w:lineRule="auto"/>
        <w:jc w:val="both"/>
      </w:pPr>
      <w:r>
        <w:t>Provođenje interne prosudbe u planiranim intervalima</w:t>
      </w:r>
    </w:p>
    <w:p w:rsidR="00CE67BB" w:rsidRDefault="00CE67BB" w:rsidP="00CE67BB">
      <w:pPr>
        <w:pStyle w:val="ListParagraph"/>
        <w:numPr>
          <w:ilvl w:val="0"/>
          <w:numId w:val="3"/>
        </w:numPr>
        <w:spacing w:line="360" w:lineRule="auto"/>
        <w:jc w:val="both"/>
      </w:pPr>
      <w:r>
        <w:t>Provođenje provjere ISMS-a od strane uprave na redovnoj bazi</w:t>
      </w:r>
    </w:p>
    <w:p w:rsidR="00CE67BB" w:rsidRDefault="00CE67BB" w:rsidP="00CE67BB">
      <w:pPr>
        <w:pStyle w:val="ListParagraph"/>
        <w:numPr>
          <w:ilvl w:val="0"/>
          <w:numId w:val="3"/>
        </w:numPr>
        <w:spacing w:line="360" w:lineRule="auto"/>
        <w:jc w:val="both"/>
      </w:pPr>
      <w:r>
        <w:t>Nadopunjavanje sigurnosnih planova kako bi se u obzir uzeli rezultati aktivnosti za nadzor i provjeru</w:t>
      </w:r>
    </w:p>
    <w:p w:rsidR="00CE67BB" w:rsidRPr="00CE67BB" w:rsidRDefault="00CE67BB" w:rsidP="00CE67BB">
      <w:pPr>
        <w:pStyle w:val="ListParagraph"/>
        <w:numPr>
          <w:ilvl w:val="0"/>
          <w:numId w:val="3"/>
        </w:numPr>
        <w:spacing w:line="360" w:lineRule="auto"/>
        <w:jc w:val="both"/>
      </w:pPr>
      <w:r>
        <w:t>Bilježenje akcija i događaja koji bi mogli imati učinak na učinkovitosti ili izvođenju ISMS-a</w:t>
      </w:r>
    </w:p>
    <w:p w:rsidR="00407335" w:rsidRDefault="00407335" w:rsidP="00407335">
      <w:pPr>
        <w:pStyle w:val="ListParagraph"/>
        <w:numPr>
          <w:ilvl w:val="0"/>
          <w:numId w:val="1"/>
        </w:numPr>
        <w:spacing w:line="360" w:lineRule="auto"/>
        <w:jc w:val="both"/>
        <w:rPr>
          <w:b/>
        </w:rPr>
      </w:pPr>
      <w:r w:rsidRPr="00407335">
        <w:rPr>
          <w:b/>
        </w:rPr>
        <w:t>Održavati i poboljšavati ISMS</w:t>
      </w:r>
    </w:p>
    <w:p w:rsidR="0001739E" w:rsidRDefault="00DF1AAE" w:rsidP="0001739E">
      <w:pPr>
        <w:pStyle w:val="ListParagraph"/>
        <w:spacing w:line="360" w:lineRule="auto"/>
        <w:jc w:val="both"/>
      </w:pPr>
      <w:r>
        <w:t>Posljednji korak koji organizacija mora redovito provoditi, a tiče se dijela upravljanja ISMS-om je održavanje i poboljšavanje ISMS-a, koje se provodi kroz par koraka:</w:t>
      </w:r>
    </w:p>
    <w:p w:rsidR="00DF1AAE" w:rsidRDefault="00DF1AAE" w:rsidP="00DF1AAE">
      <w:pPr>
        <w:pStyle w:val="ListParagraph"/>
        <w:numPr>
          <w:ilvl w:val="0"/>
          <w:numId w:val="4"/>
        </w:numPr>
        <w:spacing w:line="360" w:lineRule="auto"/>
        <w:jc w:val="both"/>
      </w:pPr>
      <w:r>
        <w:t>Implementacija uočenih poboljšanja ISMS-a</w:t>
      </w:r>
    </w:p>
    <w:p w:rsidR="00DF1AAE" w:rsidRDefault="00DF1AAE" w:rsidP="00DF1AAE">
      <w:pPr>
        <w:pStyle w:val="ListParagraph"/>
        <w:numPr>
          <w:ilvl w:val="0"/>
          <w:numId w:val="4"/>
        </w:numPr>
        <w:spacing w:line="360" w:lineRule="auto"/>
        <w:jc w:val="both"/>
      </w:pPr>
      <w:r>
        <w:t xml:space="preserve">Poduzimanje odgovarajućih korektivnih i preventivnih akcija </w:t>
      </w:r>
    </w:p>
    <w:p w:rsidR="00DF1AAE" w:rsidRDefault="00DF1AAE" w:rsidP="00DF1AAE">
      <w:pPr>
        <w:pStyle w:val="ListParagraph"/>
        <w:numPr>
          <w:ilvl w:val="0"/>
          <w:numId w:val="4"/>
        </w:numPr>
        <w:spacing w:line="360" w:lineRule="auto"/>
        <w:jc w:val="both"/>
      </w:pPr>
      <w:r>
        <w:t>Obavještavanje svih zainteresiranih strana o aktivnostima i poboljšanjima</w:t>
      </w:r>
    </w:p>
    <w:p w:rsidR="00DF1AAE" w:rsidRPr="0001739E" w:rsidRDefault="00DF1AAE" w:rsidP="00DF1AAE">
      <w:pPr>
        <w:pStyle w:val="ListParagraph"/>
        <w:numPr>
          <w:ilvl w:val="0"/>
          <w:numId w:val="4"/>
        </w:numPr>
        <w:spacing w:line="360" w:lineRule="auto"/>
        <w:jc w:val="both"/>
      </w:pPr>
      <w:r>
        <w:t>Osiguranje da poboljšanja postignu njihove namjeravane ciljeve</w:t>
      </w:r>
    </w:p>
    <w:p w:rsidR="009B6DDE" w:rsidRDefault="00DF1AAE" w:rsidP="009B6DDE">
      <w:pPr>
        <w:spacing w:line="360" w:lineRule="auto"/>
        <w:jc w:val="both"/>
      </w:pPr>
      <w:r>
        <w:t>Tek nakon ovih dugotrajnih procesa, može se reći da je ISMS, ne samo uspješno postavljen, već i održavan od strane organizacije.</w:t>
      </w:r>
    </w:p>
    <w:p w:rsidR="00134BCA" w:rsidRDefault="0084529E" w:rsidP="0084529E">
      <w:pPr>
        <w:pStyle w:val="Heading2"/>
        <w:spacing w:line="480" w:lineRule="auto"/>
      </w:pPr>
      <w:bookmarkStart w:id="16" w:name="_Toc377039888"/>
      <w:r>
        <w:t>5.3.Zahtjevi za dokumentaciju</w:t>
      </w:r>
      <w:bookmarkEnd w:id="16"/>
    </w:p>
    <w:p w:rsidR="0084529E" w:rsidRDefault="009A2E47" w:rsidP="0084529E">
      <w:pPr>
        <w:spacing w:line="360" w:lineRule="auto"/>
        <w:jc w:val="both"/>
      </w:pPr>
      <w:r>
        <w:t>Sa prethodne slike (</w:t>
      </w:r>
      <w:r>
        <w:fldChar w:fldCharType="begin"/>
      </w:r>
      <w:r>
        <w:instrText xml:space="preserve"> REF  _Ref375998232 \* Lower \h  \* MERGEFORMAT </w:instrText>
      </w:r>
      <w:r>
        <w:fldChar w:fldCharType="separate"/>
      </w:r>
      <w:r w:rsidR="00BB6910" w:rsidRPr="00A3328E">
        <w:rPr>
          <w:color w:val="000000" w:themeColor="text1"/>
        </w:rPr>
        <w:t xml:space="preserve">slika </w:t>
      </w:r>
      <w:r w:rsidR="00BB6910">
        <w:rPr>
          <w:noProof/>
          <w:color w:val="000000" w:themeColor="text1"/>
        </w:rPr>
        <w:t>2</w:t>
      </w:r>
      <w:r>
        <w:fldChar w:fldCharType="end"/>
      </w:r>
      <w:r>
        <w:t>)</w:t>
      </w:r>
      <w:r w:rsidR="000A2E52">
        <w:t xml:space="preserve"> može se vidjeti što sve obuhvaćaju </w:t>
      </w:r>
      <w:r w:rsidR="000A2E52">
        <w:rPr>
          <w:i/>
        </w:rPr>
        <w:t>Zahtjevi za dokumentaciju</w:t>
      </w:r>
      <w:r w:rsidR="000A2E52">
        <w:t>. Osim ugrubo nabrojanih zahtjeva, oni će kroz daljnji dio teksta biti malo detaljnije opisani.</w:t>
      </w:r>
    </w:p>
    <w:p w:rsidR="004A2275" w:rsidRDefault="00FD660C" w:rsidP="0084529E">
      <w:pPr>
        <w:spacing w:line="360" w:lineRule="auto"/>
        <w:jc w:val="both"/>
      </w:pPr>
      <w:r>
        <w:t>Zahtjevi za dokum</w:t>
      </w:r>
      <w:r w:rsidR="007A3F23">
        <w:t>entaciju dijele se u 3 podgrupe: [</w:t>
      </w:r>
      <w:r w:rsidR="007A3F23" w:rsidRPr="007A3F23">
        <w:t>Zavod za ispitivanje kvalitete d.o.o.</w:t>
      </w:r>
      <w:r w:rsidR="007A3F23">
        <w:t>, 2007, str. 9-10]</w:t>
      </w:r>
      <w:r w:rsidR="007A3F23" w:rsidRPr="007A3F23">
        <w:t xml:space="preserve"> </w:t>
      </w:r>
    </w:p>
    <w:p w:rsidR="00FD660C" w:rsidRDefault="00585986" w:rsidP="00585986">
      <w:pPr>
        <w:pStyle w:val="ListParagraph"/>
        <w:numPr>
          <w:ilvl w:val="0"/>
          <w:numId w:val="5"/>
        </w:numPr>
        <w:spacing w:line="360" w:lineRule="auto"/>
        <w:jc w:val="both"/>
        <w:rPr>
          <w:b/>
        </w:rPr>
      </w:pPr>
      <w:r>
        <w:rPr>
          <w:b/>
        </w:rPr>
        <w:t>Općenito</w:t>
      </w:r>
    </w:p>
    <w:p w:rsidR="00D041E3" w:rsidRPr="00D041E3" w:rsidRDefault="005E4BAA" w:rsidP="00D041E3">
      <w:pPr>
        <w:pStyle w:val="ListParagraph"/>
        <w:spacing w:line="360" w:lineRule="auto"/>
        <w:jc w:val="both"/>
      </w:pPr>
      <w:r>
        <w:t>Općenito, dokumentacija mora sadržavati zapise o odlukama uprave, zatim osiguravati sljedivost postupaka do odluka uprave i politika, te na kraju osigurati da se zapisani rezultati mogu ponovno proizvesti. Ukratko, sada će biti nabrojano što sve ISMS dokumentacija mora sadržavati:</w:t>
      </w:r>
    </w:p>
    <w:p w:rsidR="00585986" w:rsidRDefault="0021630E" w:rsidP="00585986">
      <w:pPr>
        <w:pStyle w:val="ListParagraph"/>
        <w:numPr>
          <w:ilvl w:val="1"/>
          <w:numId w:val="5"/>
        </w:numPr>
        <w:spacing w:line="360" w:lineRule="auto"/>
        <w:jc w:val="both"/>
      </w:pPr>
      <w:r>
        <w:lastRenderedPageBreak/>
        <w:t>Dokumentirane izjave ISMS politike i ciljeva</w:t>
      </w:r>
    </w:p>
    <w:p w:rsidR="0021630E" w:rsidRDefault="0021630E" w:rsidP="00585986">
      <w:pPr>
        <w:pStyle w:val="ListParagraph"/>
        <w:numPr>
          <w:ilvl w:val="1"/>
          <w:numId w:val="5"/>
        </w:numPr>
        <w:spacing w:line="360" w:lineRule="auto"/>
        <w:jc w:val="both"/>
      </w:pPr>
      <w:r>
        <w:t>Opseg ISMS-a</w:t>
      </w:r>
    </w:p>
    <w:p w:rsidR="0021630E" w:rsidRDefault="0021630E" w:rsidP="00585986">
      <w:pPr>
        <w:pStyle w:val="ListParagraph"/>
        <w:numPr>
          <w:ilvl w:val="1"/>
          <w:numId w:val="5"/>
        </w:numPr>
        <w:spacing w:line="360" w:lineRule="auto"/>
        <w:jc w:val="both"/>
      </w:pPr>
      <w:r>
        <w:t>Procedure i kontrole koje podupiru ISMS</w:t>
      </w:r>
    </w:p>
    <w:p w:rsidR="0021630E" w:rsidRDefault="0021630E" w:rsidP="00585986">
      <w:pPr>
        <w:pStyle w:val="ListParagraph"/>
        <w:numPr>
          <w:ilvl w:val="1"/>
          <w:numId w:val="5"/>
        </w:numPr>
        <w:spacing w:line="360" w:lineRule="auto"/>
        <w:jc w:val="both"/>
      </w:pPr>
      <w:r>
        <w:t>Opis metodologije procjene rizika</w:t>
      </w:r>
    </w:p>
    <w:p w:rsidR="0021630E" w:rsidRDefault="0021630E" w:rsidP="00585986">
      <w:pPr>
        <w:pStyle w:val="ListParagraph"/>
        <w:numPr>
          <w:ilvl w:val="1"/>
          <w:numId w:val="5"/>
        </w:numPr>
        <w:spacing w:line="360" w:lineRule="auto"/>
        <w:jc w:val="both"/>
      </w:pPr>
      <w:r>
        <w:t>Izvještaj procjene rizika</w:t>
      </w:r>
    </w:p>
    <w:p w:rsidR="0021630E" w:rsidRDefault="0021630E" w:rsidP="00585986">
      <w:pPr>
        <w:pStyle w:val="ListParagraph"/>
        <w:numPr>
          <w:ilvl w:val="1"/>
          <w:numId w:val="5"/>
        </w:numPr>
        <w:spacing w:line="360" w:lineRule="auto"/>
        <w:jc w:val="both"/>
      </w:pPr>
      <w:r>
        <w:t>Plan obrade rizika</w:t>
      </w:r>
    </w:p>
    <w:p w:rsidR="0021630E" w:rsidRDefault="0021630E" w:rsidP="00585986">
      <w:pPr>
        <w:pStyle w:val="ListParagraph"/>
        <w:numPr>
          <w:ilvl w:val="1"/>
          <w:numId w:val="5"/>
        </w:numPr>
        <w:spacing w:line="360" w:lineRule="auto"/>
        <w:jc w:val="both"/>
      </w:pPr>
      <w:r>
        <w:t xml:space="preserve">Organizaciji potrebne dokumentirane procedure za učinkovito planiranje, rad i kontrolu njenih procesa informacijske sigurnosti </w:t>
      </w:r>
    </w:p>
    <w:p w:rsidR="0021630E" w:rsidRDefault="00E91F9A" w:rsidP="00585986">
      <w:pPr>
        <w:pStyle w:val="ListParagraph"/>
        <w:numPr>
          <w:ilvl w:val="1"/>
          <w:numId w:val="5"/>
        </w:numPr>
        <w:spacing w:line="360" w:lineRule="auto"/>
        <w:jc w:val="both"/>
      </w:pPr>
      <w:r>
        <w:t>Zapise zahtijevane ovom međunarodnom normom</w:t>
      </w:r>
    </w:p>
    <w:p w:rsidR="00E91F9A" w:rsidRPr="00585986" w:rsidRDefault="00E91F9A" w:rsidP="00585986">
      <w:pPr>
        <w:pStyle w:val="ListParagraph"/>
        <w:numPr>
          <w:ilvl w:val="1"/>
          <w:numId w:val="5"/>
        </w:numPr>
        <w:spacing w:line="360" w:lineRule="auto"/>
        <w:jc w:val="both"/>
      </w:pPr>
      <w:r>
        <w:t>Izjavu o primjenjivosti</w:t>
      </w:r>
    </w:p>
    <w:p w:rsidR="00585986" w:rsidRDefault="00585986" w:rsidP="00585986">
      <w:pPr>
        <w:pStyle w:val="ListParagraph"/>
        <w:numPr>
          <w:ilvl w:val="0"/>
          <w:numId w:val="5"/>
        </w:numPr>
        <w:spacing w:line="360" w:lineRule="auto"/>
        <w:jc w:val="both"/>
        <w:rPr>
          <w:b/>
        </w:rPr>
      </w:pPr>
      <w:r>
        <w:rPr>
          <w:b/>
        </w:rPr>
        <w:t>Kontrola dokumenata</w:t>
      </w:r>
    </w:p>
    <w:p w:rsidR="00E91F9A" w:rsidRDefault="004C39CB" w:rsidP="00E91F9A">
      <w:pPr>
        <w:pStyle w:val="ListParagraph"/>
        <w:spacing w:line="360" w:lineRule="auto"/>
        <w:jc w:val="both"/>
      </w:pPr>
      <w:r>
        <w:t xml:space="preserve">Dokumenti moraju biti zaštićeni i kontrolirani. </w:t>
      </w:r>
      <w:r w:rsidR="00224B6F">
        <w:t>Također, mora biti uspostavljena procedura koja će odrediti akcije uprave potrebne kako bi se:</w:t>
      </w:r>
    </w:p>
    <w:p w:rsidR="00AE2069" w:rsidRDefault="00224B6F" w:rsidP="00AE2069">
      <w:pPr>
        <w:pStyle w:val="ListParagraph"/>
        <w:numPr>
          <w:ilvl w:val="1"/>
          <w:numId w:val="5"/>
        </w:numPr>
        <w:spacing w:line="360" w:lineRule="auto"/>
        <w:jc w:val="both"/>
      </w:pPr>
      <w:r>
        <w:t>Odobrila adekvatnost dokumenata prije izdavanja</w:t>
      </w:r>
    </w:p>
    <w:p w:rsidR="00224B6F" w:rsidRDefault="00224B6F" w:rsidP="00AE2069">
      <w:pPr>
        <w:pStyle w:val="ListParagraph"/>
        <w:numPr>
          <w:ilvl w:val="1"/>
          <w:numId w:val="5"/>
        </w:numPr>
        <w:spacing w:line="360" w:lineRule="auto"/>
        <w:jc w:val="both"/>
      </w:pPr>
      <w:r>
        <w:t>Pregledali i dopunili dokumenti i ponovo odobrili</w:t>
      </w:r>
    </w:p>
    <w:p w:rsidR="00224B6F" w:rsidRDefault="00224B6F" w:rsidP="00AE2069">
      <w:pPr>
        <w:pStyle w:val="ListParagraph"/>
        <w:numPr>
          <w:ilvl w:val="1"/>
          <w:numId w:val="5"/>
        </w:numPr>
        <w:spacing w:line="360" w:lineRule="auto"/>
        <w:jc w:val="both"/>
      </w:pPr>
      <w:r>
        <w:t>Osiguralo da se identificirane izmjene i status trenutne revizije dokumenata</w:t>
      </w:r>
    </w:p>
    <w:p w:rsidR="00224B6F" w:rsidRDefault="00224B6F" w:rsidP="00AE2069">
      <w:pPr>
        <w:pStyle w:val="ListParagraph"/>
        <w:numPr>
          <w:ilvl w:val="1"/>
          <w:numId w:val="5"/>
        </w:numPr>
        <w:spacing w:line="360" w:lineRule="auto"/>
        <w:jc w:val="both"/>
      </w:pPr>
      <w:r>
        <w:t>Osiguralo da su relevantne verzije primjenjivih dokumenata dostupne na mjestu upotrebe</w:t>
      </w:r>
    </w:p>
    <w:p w:rsidR="00224B6F" w:rsidRDefault="00224B6F" w:rsidP="00AE2069">
      <w:pPr>
        <w:pStyle w:val="ListParagraph"/>
        <w:numPr>
          <w:ilvl w:val="1"/>
          <w:numId w:val="5"/>
        </w:numPr>
        <w:spacing w:line="360" w:lineRule="auto"/>
        <w:jc w:val="both"/>
      </w:pPr>
      <w:r>
        <w:t>Osiguralo da dokumenti ostanu čitki i lako prepoznatljivi</w:t>
      </w:r>
    </w:p>
    <w:p w:rsidR="00224B6F" w:rsidRDefault="00224B6F" w:rsidP="00AE2069">
      <w:pPr>
        <w:pStyle w:val="ListParagraph"/>
        <w:numPr>
          <w:ilvl w:val="1"/>
          <w:numId w:val="5"/>
        </w:numPr>
        <w:spacing w:line="360" w:lineRule="auto"/>
        <w:jc w:val="both"/>
      </w:pPr>
      <w:r>
        <w:t>Osiguralo da su dokumenti dostupni onima koji ih trebaju</w:t>
      </w:r>
    </w:p>
    <w:p w:rsidR="00224B6F" w:rsidRDefault="00224B6F" w:rsidP="00AE2069">
      <w:pPr>
        <w:pStyle w:val="ListParagraph"/>
        <w:numPr>
          <w:ilvl w:val="1"/>
          <w:numId w:val="5"/>
        </w:numPr>
        <w:spacing w:line="360" w:lineRule="auto"/>
        <w:jc w:val="both"/>
      </w:pPr>
      <w:r>
        <w:t xml:space="preserve">Osiguralo da su identificirani dokumenti </w:t>
      </w:r>
      <w:r w:rsidR="001154BF">
        <w:t>vanjskog porijekla</w:t>
      </w:r>
    </w:p>
    <w:p w:rsidR="001154BF" w:rsidRDefault="001154BF" w:rsidP="00AE2069">
      <w:pPr>
        <w:pStyle w:val="ListParagraph"/>
        <w:numPr>
          <w:ilvl w:val="1"/>
          <w:numId w:val="5"/>
        </w:numPr>
        <w:spacing w:line="360" w:lineRule="auto"/>
        <w:jc w:val="both"/>
      </w:pPr>
      <w:r>
        <w:t>Osiguralo da je distribucija dokumenata kontrolirana</w:t>
      </w:r>
    </w:p>
    <w:p w:rsidR="001154BF" w:rsidRDefault="001154BF" w:rsidP="00AE2069">
      <w:pPr>
        <w:pStyle w:val="ListParagraph"/>
        <w:numPr>
          <w:ilvl w:val="1"/>
          <w:numId w:val="5"/>
        </w:numPr>
        <w:spacing w:line="360" w:lineRule="auto"/>
        <w:jc w:val="both"/>
      </w:pPr>
      <w:r>
        <w:t>Spriječilo nenamjernu upotrebu zastarjelih dokumenata</w:t>
      </w:r>
    </w:p>
    <w:p w:rsidR="001154BF" w:rsidRPr="00AE2069" w:rsidRDefault="001154BF" w:rsidP="00AE2069">
      <w:pPr>
        <w:pStyle w:val="ListParagraph"/>
        <w:numPr>
          <w:ilvl w:val="1"/>
          <w:numId w:val="5"/>
        </w:numPr>
        <w:spacing w:line="360" w:lineRule="auto"/>
        <w:jc w:val="both"/>
      </w:pPr>
      <w:r>
        <w:t>Ukoliko su iz bilo kod razloga sačuvanima, dokumentima dodijelilo odgovarajuću identifikaciju</w:t>
      </w:r>
    </w:p>
    <w:p w:rsidR="00585986" w:rsidRDefault="00585986" w:rsidP="00585986">
      <w:pPr>
        <w:pStyle w:val="ListParagraph"/>
        <w:numPr>
          <w:ilvl w:val="0"/>
          <w:numId w:val="5"/>
        </w:numPr>
        <w:spacing w:line="360" w:lineRule="auto"/>
        <w:jc w:val="both"/>
        <w:rPr>
          <w:b/>
        </w:rPr>
      </w:pPr>
      <w:r>
        <w:rPr>
          <w:b/>
        </w:rPr>
        <w:t>Kontrola zapisa</w:t>
      </w:r>
    </w:p>
    <w:p w:rsidR="00AE2069" w:rsidRDefault="00477848" w:rsidP="00F529AA">
      <w:pPr>
        <w:pStyle w:val="ListParagraph"/>
        <w:spacing w:line="360" w:lineRule="auto"/>
        <w:jc w:val="both"/>
      </w:pPr>
      <w:r>
        <w:t xml:space="preserve">Moraju se uspostaviti i održavati zapisi koji pružaju dokaze o usklađenosti sa zahtjevima i učinkovitom radu ISMS-a. </w:t>
      </w:r>
      <w:r w:rsidR="00F529AA">
        <w:t>Oni moraju biti zaštićeni i kontrolirani. Zapisi moraju ostati čitki, lako prepoznatljivi i dostupni. Kontrole moraju biti dokumentirane i implementirane.</w:t>
      </w:r>
    </w:p>
    <w:p w:rsidR="007767C5" w:rsidRDefault="007767C5" w:rsidP="007767C5">
      <w:pPr>
        <w:pStyle w:val="Heading1"/>
        <w:spacing w:line="480" w:lineRule="auto"/>
      </w:pPr>
      <w:bookmarkStart w:id="17" w:name="_Toc377039889"/>
      <w:r>
        <w:lastRenderedPageBreak/>
        <w:t>6.Odgovornost uprave</w:t>
      </w:r>
      <w:bookmarkEnd w:id="17"/>
    </w:p>
    <w:p w:rsidR="00023E81" w:rsidRDefault="00023E81" w:rsidP="007767C5">
      <w:pPr>
        <w:spacing w:line="360" w:lineRule="auto"/>
        <w:jc w:val="both"/>
      </w:pPr>
      <w:r>
        <w:t xml:space="preserve">Što se tiče odgovornosti uprave, dvije su </w:t>
      </w:r>
      <w:r w:rsidR="00AD1869">
        <w:t>stvari na koje se odgovornost uprave dijeli</w:t>
      </w:r>
      <w:r>
        <w:t>, a prikazane su na slici niže (</w:t>
      </w:r>
      <w:r w:rsidR="0025048B">
        <w:fldChar w:fldCharType="begin"/>
      </w:r>
      <w:r w:rsidR="0025048B">
        <w:instrText xml:space="preserve"> REF  _Ref376182380 \* Lower \h  \* MERGEFORMAT </w:instrText>
      </w:r>
      <w:r w:rsidR="0025048B">
        <w:fldChar w:fldCharType="separate"/>
      </w:r>
      <w:r w:rsidR="00BB6910" w:rsidRPr="00D13151">
        <w:rPr>
          <w:color w:val="000000" w:themeColor="text1"/>
        </w:rPr>
        <w:t xml:space="preserve">slika </w:t>
      </w:r>
      <w:r w:rsidR="00BB6910">
        <w:rPr>
          <w:noProof/>
          <w:color w:val="000000" w:themeColor="text1"/>
        </w:rPr>
        <w:t>3</w:t>
      </w:r>
      <w:r w:rsidR="0025048B">
        <w:fldChar w:fldCharType="end"/>
      </w:r>
      <w:r w:rsidR="007A3F23">
        <w:t>): [</w:t>
      </w:r>
      <w:r w:rsidR="007A3F23" w:rsidRPr="007A3F23">
        <w:t>Zavod za ispitivanje kvalitete d.o.o.</w:t>
      </w:r>
      <w:r w:rsidR="007A3F23">
        <w:t>, 2007, str. 10]</w:t>
      </w:r>
    </w:p>
    <w:p w:rsidR="00D13151" w:rsidRDefault="00C857EB" w:rsidP="00D13151">
      <w:pPr>
        <w:keepNext/>
        <w:spacing w:line="360" w:lineRule="auto"/>
        <w:jc w:val="center"/>
      </w:pPr>
      <w:r>
        <w:rPr>
          <w:noProof/>
          <w:lang w:eastAsia="hr-HR"/>
        </w:rPr>
        <w:drawing>
          <wp:inline distT="0" distB="0" distL="0" distR="0" wp14:anchorId="7B1B7C73" wp14:editId="6882497A">
            <wp:extent cx="3629025" cy="2695575"/>
            <wp:effectExtent l="19050" t="19050" r="952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1178" cy="2697175"/>
                    </a:xfrm>
                    <a:prstGeom prst="rect">
                      <a:avLst/>
                    </a:prstGeom>
                    <a:ln>
                      <a:solidFill>
                        <a:schemeClr val="accent1"/>
                      </a:solidFill>
                    </a:ln>
                  </pic:spPr>
                </pic:pic>
              </a:graphicData>
            </a:graphic>
          </wp:inline>
        </w:drawing>
      </w:r>
    </w:p>
    <w:p w:rsidR="007767C5" w:rsidRPr="00D13151" w:rsidRDefault="00D13151" w:rsidP="00D13151">
      <w:pPr>
        <w:pStyle w:val="Caption"/>
        <w:jc w:val="center"/>
        <w:rPr>
          <w:color w:val="000000" w:themeColor="text1"/>
          <w:sz w:val="36"/>
        </w:rPr>
      </w:pPr>
      <w:bookmarkStart w:id="18" w:name="_Ref376182380"/>
      <w:r w:rsidRPr="00D13151">
        <w:rPr>
          <w:color w:val="000000" w:themeColor="text1"/>
          <w:sz w:val="24"/>
        </w:rPr>
        <w:t xml:space="preserve">Slika </w:t>
      </w:r>
      <w:r w:rsidRPr="00D13151">
        <w:rPr>
          <w:color w:val="000000" w:themeColor="text1"/>
          <w:sz w:val="24"/>
        </w:rPr>
        <w:fldChar w:fldCharType="begin"/>
      </w:r>
      <w:r w:rsidRPr="00D13151">
        <w:rPr>
          <w:color w:val="000000" w:themeColor="text1"/>
          <w:sz w:val="24"/>
        </w:rPr>
        <w:instrText xml:space="preserve"> SEQ Slika \* ARABIC </w:instrText>
      </w:r>
      <w:r w:rsidRPr="00D13151">
        <w:rPr>
          <w:color w:val="000000" w:themeColor="text1"/>
          <w:sz w:val="24"/>
        </w:rPr>
        <w:fldChar w:fldCharType="separate"/>
      </w:r>
      <w:r w:rsidR="00BB6910">
        <w:rPr>
          <w:noProof/>
          <w:color w:val="000000" w:themeColor="text1"/>
          <w:sz w:val="24"/>
        </w:rPr>
        <w:t>3</w:t>
      </w:r>
      <w:r w:rsidRPr="00D13151">
        <w:rPr>
          <w:color w:val="000000" w:themeColor="text1"/>
          <w:sz w:val="24"/>
        </w:rPr>
        <w:fldChar w:fldCharType="end"/>
      </w:r>
      <w:bookmarkEnd w:id="18"/>
      <w:r w:rsidRPr="00D13151">
        <w:rPr>
          <w:color w:val="000000" w:themeColor="text1"/>
          <w:sz w:val="24"/>
        </w:rPr>
        <w:t xml:space="preserve"> - Odgovornost uprave</w:t>
      </w:r>
    </w:p>
    <w:p w:rsidR="00C857EB" w:rsidRPr="00497D5A" w:rsidRDefault="00497D5A" w:rsidP="00497D5A">
      <w:pPr>
        <w:pStyle w:val="Heading2"/>
        <w:spacing w:line="480" w:lineRule="auto"/>
      </w:pPr>
      <w:bookmarkStart w:id="19" w:name="_Toc377039890"/>
      <w:r>
        <w:t>6.1.</w:t>
      </w:r>
      <w:r w:rsidR="006F1E10" w:rsidRPr="00497D5A">
        <w:t>Opredjeljenje uprave</w:t>
      </w:r>
      <w:bookmarkEnd w:id="19"/>
    </w:p>
    <w:p w:rsidR="006F1E10" w:rsidRDefault="00FF045B" w:rsidP="006F1E10">
      <w:pPr>
        <w:pStyle w:val="ListParagraph"/>
        <w:spacing w:line="360" w:lineRule="auto"/>
        <w:jc w:val="both"/>
      </w:pPr>
      <w:r>
        <w:t xml:space="preserve">Uprava mora pružiti dokaz svoje opredjeljenosti uspostavi, implementaciji, izvršavanju, nadziranju, provjeri, održavanju i poboljšanju ISMS-a. </w:t>
      </w:r>
      <w:r w:rsidR="0004519B">
        <w:t>To može učiniti kroz veći broj uvjeta, a neki od njih su:</w:t>
      </w:r>
    </w:p>
    <w:p w:rsidR="0004519B" w:rsidRDefault="004835E3" w:rsidP="0004519B">
      <w:pPr>
        <w:pStyle w:val="ListParagraph"/>
        <w:numPr>
          <w:ilvl w:val="0"/>
          <w:numId w:val="7"/>
        </w:numPr>
        <w:spacing w:line="360" w:lineRule="auto"/>
        <w:jc w:val="both"/>
      </w:pPr>
      <w:r>
        <w:t>Uspostavljanje ISMS politike</w:t>
      </w:r>
    </w:p>
    <w:p w:rsidR="004835E3" w:rsidRDefault="004835E3" w:rsidP="0004519B">
      <w:pPr>
        <w:pStyle w:val="ListParagraph"/>
        <w:numPr>
          <w:ilvl w:val="0"/>
          <w:numId w:val="7"/>
        </w:numPr>
        <w:spacing w:line="360" w:lineRule="auto"/>
        <w:jc w:val="both"/>
      </w:pPr>
      <w:r>
        <w:t>Osiguravanje da su ciljevi i planovi ISMS-a uspostavljeni</w:t>
      </w:r>
    </w:p>
    <w:p w:rsidR="004835E3" w:rsidRDefault="004835E3" w:rsidP="0004519B">
      <w:pPr>
        <w:pStyle w:val="ListParagraph"/>
        <w:numPr>
          <w:ilvl w:val="0"/>
          <w:numId w:val="7"/>
        </w:numPr>
        <w:spacing w:line="360" w:lineRule="auto"/>
        <w:jc w:val="both"/>
      </w:pPr>
      <w:r>
        <w:t>Odlučivanje o kriteriju za prihvaćanje rizika i prihvatljivim razinama rizika</w:t>
      </w:r>
    </w:p>
    <w:p w:rsidR="004835E3" w:rsidRDefault="004835E3" w:rsidP="0004519B">
      <w:pPr>
        <w:pStyle w:val="ListParagraph"/>
        <w:numPr>
          <w:ilvl w:val="0"/>
          <w:numId w:val="7"/>
        </w:numPr>
        <w:spacing w:line="360" w:lineRule="auto"/>
        <w:jc w:val="both"/>
      </w:pPr>
      <w:r>
        <w:t>Osiguranje provođenja internih prosudbi (audita) ISMS-a</w:t>
      </w:r>
    </w:p>
    <w:p w:rsidR="004835E3" w:rsidRDefault="004835E3" w:rsidP="0004519B">
      <w:pPr>
        <w:pStyle w:val="ListParagraph"/>
        <w:numPr>
          <w:ilvl w:val="0"/>
          <w:numId w:val="7"/>
        </w:numPr>
        <w:spacing w:line="360" w:lineRule="auto"/>
        <w:jc w:val="both"/>
      </w:pPr>
      <w:r>
        <w:t>Provođenjem provjera ISMS-a od strane uprave</w:t>
      </w:r>
    </w:p>
    <w:p w:rsidR="00100AE1" w:rsidRPr="00100AE1" w:rsidRDefault="00100AE1" w:rsidP="00D6781F">
      <w:pPr>
        <w:pStyle w:val="ListParagraph"/>
        <w:spacing w:line="360" w:lineRule="auto"/>
        <w:ind w:left="1440"/>
        <w:jc w:val="both"/>
      </w:pPr>
      <w:r>
        <w:t>...</w:t>
      </w:r>
    </w:p>
    <w:p w:rsidR="006F1E10" w:rsidRPr="00497D5A" w:rsidRDefault="00497D5A" w:rsidP="00497D5A">
      <w:pPr>
        <w:pStyle w:val="Heading2"/>
        <w:spacing w:line="480" w:lineRule="auto"/>
      </w:pPr>
      <w:bookmarkStart w:id="20" w:name="_Toc377039891"/>
      <w:r>
        <w:t>6.2.</w:t>
      </w:r>
      <w:r w:rsidR="006F1E10" w:rsidRPr="00497D5A">
        <w:t>Upravljanje sredstvima</w:t>
      </w:r>
      <w:bookmarkEnd w:id="20"/>
    </w:p>
    <w:p w:rsidR="00D6781F" w:rsidRDefault="005B7D7B" w:rsidP="00D6781F">
      <w:pPr>
        <w:pStyle w:val="ListParagraph"/>
        <w:spacing w:line="360" w:lineRule="auto"/>
        <w:jc w:val="both"/>
      </w:pPr>
      <w:r>
        <w:t>Upravljanje sredstvima dijeli se na:</w:t>
      </w:r>
    </w:p>
    <w:p w:rsidR="005B7D7B" w:rsidRDefault="005B7D7B" w:rsidP="005B7D7B">
      <w:pPr>
        <w:pStyle w:val="ListParagraph"/>
        <w:numPr>
          <w:ilvl w:val="0"/>
          <w:numId w:val="8"/>
        </w:numPr>
        <w:spacing w:line="360" w:lineRule="auto"/>
        <w:jc w:val="both"/>
      </w:pPr>
      <w:r>
        <w:t>Dodjeljivanje sredstava</w:t>
      </w:r>
    </w:p>
    <w:p w:rsidR="005B7D7B" w:rsidRPr="00D6781F" w:rsidRDefault="005B7D7B" w:rsidP="005B7D7B">
      <w:pPr>
        <w:pStyle w:val="ListParagraph"/>
        <w:numPr>
          <w:ilvl w:val="0"/>
          <w:numId w:val="8"/>
        </w:numPr>
        <w:spacing w:line="360" w:lineRule="auto"/>
        <w:jc w:val="both"/>
      </w:pPr>
      <w:r>
        <w:t>Obučavanje, razina svijesti i sposobnosti</w:t>
      </w:r>
    </w:p>
    <w:p w:rsidR="000F3302" w:rsidRDefault="000F3302" w:rsidP="000F3302">
      <w:pPr>
        <w:pStyle w:val="Heading1"/>
        <w:spacing w:line="480" w:lineRule="auto"/>
      </w:pPr>
      <w:bookmarkStart w:id="21" w:name="_Toc377039892"/>
      <w:r>
        <w:lastRenderedPageBreak/>
        <w:t>7.Interne prosudbe (auditi) ISMS-a</w:t>
      </w:r>
      <w:bookmarkEnd w:id="21"/>
    </w:p>
    <w:p w:rsidR="000F3302" w:rsidRDefault="00690F18" w:rsidP="000F3302">
      <w:pPr>
        <w:spacing w:line="360" w:lineRule="auto"/>
        <w:jc w:val="both"/>
      </w:pPr>
      <w:r>
        <w:t xml:space="preserve">Interne prosudbe, odnosno auditi moraju se provoditi u planiranim intervalima, kako bi se ustanovilo da ciljevi kontrola, kontrole, te procesi i procedure </w:t>
      </w:r>
      <w:r w:rsidR="00CB3605">
        <w:t xml:space="preserve">njenog </w:t>
      </w:r>
      <w:r>
        <w:t>ISMS-a udovoljavaju zahtjevima ove međunarodne norme i identificiranim zahtjevima informacijske sigurnosti, te učinkovito implementirani i održavani i izvršav</w:t>
      </w:r>
      <w:r w:rsidR="007A3F23">
        <w:t>aju se kako se od njih očekuje [</w:t>
      </w:r>
      <w:r w:rsidR="007A3F23" w:rsidRPr="007A3F23">
        <w:t>Zavod za ispitivanje kvalitete d.o.o.</w:t>
      </w:r>
      <w:r w:rsidR="007A3F23">
        <w:t>, 2007, str. 11].</w:t>
      </w:r>
    </w:p>
    <w:p w:rsidR="00DC6BA7" w:rsidRDefault="00DC6BA7" w:rsidP="000F3302">
      <w:pPr>
        <w:spacing w:line="360" w:lineRule="auto"/>
        <w:jc w:val="both"/>
      </w:pPr>
      <w:r>
        <w:t>Dokumentiranom procedurom moraju također biti definirani odgovornosti i zahtjevi za planiranje i provođenje prosudbi.</w:t>
      </w:r>
    </w:p>
    <w:p w:rsidR="00C839C0" w:rsidRDefault="00C839C0">
      <w:pPr>
        <w:rPr>
          <w:rFonts w:asciiTheme="majorHAnsi" w:eastAsiaTheme="majorEastAsia" w:hAnsiTheme="majorHAnsi" w:cstheme="majorBidi"/>
          <w:b/>
          <w:bCs/>
          <w:color w:val="365F91" w:themeColor="accent1" w:themeShade="BF"/>
          <w:sz w:val="28"/>
          <w:szCs w:val="28"/>
        </w:rPr>
      </w:pPr>
      <w:r>
        <w:br w:type="page"/>
      </w:r>
    </w:p>
    <w:p w:rsidR="000F3302" w:rsidRDefault="000F3302" w:rsidP="000F3302">
      <w:pPr>
        <w:pStyle w:val="Heading1"/>
        <w:spacing w:line="480" w:lineRule="auto"/>
      </w:pPr>
      <w:bookmarkStart w:id="22" w:name="_Toc377039893"/>
      <w:r>
        <w:lastRenderedPageBreak/>
        <w:t>8.</w:t>
      </w:r>
      <w:r w:rsidR="003A26A4">
        <w:t>Provjera ISMS-a od strane uprave</w:t>
      </w:r>
      <w:bookmarkEnd w:id="22"/>
      <w:r>
        <w:t xml:space="preserve"> </w:t>
      </w:r>
    </w:p>
    <w:p w:rsidR="000F3302" w:rsidRDefault="003A26A4" w:rsidP="000F3302">
      <w:pPr>
        <w:spacing w:line="360" w:lineRule="auto"/>
        <w:jc w:val="both"/>
      </w:pPr>
      <w:r>
        <w:t xml:space="preserve">Kao što se provode interne prosudbe u planiranim intervalima od strane organizacije, također se i provjera organizacijskog ISMS-a mora održavati i to minimalno jednom godišnje. </w:t>
      </w:r>
      <w:r w:rsidR="006E1412">
        <w:t xml:space="preserve">Provjeravanje ISMS-a osigurava njegovu stalnu podobnost, primjerenost i učinkovitost. Za provjeru ISMS-a bitni su ulazni podaci, te na kraju i sami rezultati provjere. </w:t>
      </w:r>
      <w:r w:rsidR="00FC24C8">
        <w:t>U daljnjem tekstu ukratko su nabrojani ulazni podaci i rezultati provjere</w:t>
      </w:r>
      <w:r w:rsidR="007A3F23">
        <w:t>: [</w:t>
      </w:r>
      <w:r w:rsidR="007A3F23" w:rsidRPr="007A3F23">
        <w:t>Zavod za ispitivanje kvalitete d.o.o.</w:t>
      </w:r>
      <w:r w:rsidR="007A3F23">
        <w:t>, 2007, str. 11, 12]</w:t>
      </w:r>
    </w:p>
    <w:p w:rsidR="00FC24C8" w:rsidRDefault="00FC24C8" w:rsidP="00FC24C8">
      <w:pPr>
        <w:pStyle w:val="ListParagraph"/>
        <w:numPr>
          <w:ilvl w:val="0"/>
          <w:numId w:val="9"/>
        </w:numPr>
        <w:spacing w:line="360" w:lineRule="auto"/>
        <w:jc w:val="both"/>
      </w:pPr>
      <w:r>
        <w:rPr>
          <w:b/>
        </w:rPr>
        <w:t>Ulazni podaci za provjeru</w:t>
      </w:r>
      <w:r w:rsidR="00EA5DB8">
        <w:t xml:space="preserve"> – podaci koje je potrebno dostaviti upravi za potrebe provjere sadržavaju:</w:t>
      </w:r>
    </w:p>
    <w:p w:rsidR="00FC24C8" w:rsidRDefault="00EA5DB8" w:rsidP="00FC24C8">
      <w:pPr>
        <w:pStyle w:val="ListParagraph"/>
        <w:numPr>
          <w:ilvl w:val="1"/>
          <w:numId w:val="9"/>
        </w:numPr>
        <w:spacing w:line="360" w:lineRule="auto"/>
        <w:jc w:val="both"/>
      </w:pPr>
      <w:r>
        <w:t>Rezultate prosudbi i provjera ISMS-a</w:t>
      </w:r>
    </w:p>
    <w:p w:rsidR="00EA5DB8" w:rsidRDefault="00EA5DB8" w:rsidP="00EA5DB8">
      <w:pPr>
        <w:pStyle w:val="ListParagraph"/>
        <w:numPr>
          <w:ilvl w:val="1"/>
          <w:numId w:val="9"/>
        </w:numPr>
        <w:spacing w:line="360" w:lineRule="auto"/>
        <w:jc w:val="both"/>
      </w:pPr>
      <w:r>
        <w:t>Povratne informacije zainteresiranih strana</w:t>
      </w:r>
    </w:p>
    <w:p w:rsidR="00EA5DB8" w:rsidRDefault="00EA5DB8" w:rsidP="00EA5DB8">
      <w:pPr>
        <w:pStyle w:val="ListParagraph"/>
        <w:numPr>
          <w:ilvl w:val="1"/>
          <w:numId w:val="9"/>
        </w:numPr>
        <w:spacing w:line="360" w:lineRule="auto"/>
        <w:jc w:val="both"/>
      </w:pPr>
      <w:r>
        <w:t>Status preventivnih i korektivnih akcija</w:t>
      </w:r>
    </w:p>
    <w:p w:rsidR="00EA5DB8" w:rsidRDefault="00EA5DB8" w:rsidP="00EA5DB8">
      <w:pPr>
        <w:pStyle w:val="ListParagraph"/>
        <w:numPr>
          <w:ilvl w:val="1"/>
          <w:numId w:val="9"/>
        </w:numPr>
        <w:spacing w:line="360" w:lineRule="auto"/>
        <w:jc w:val="both"/>
      </w:pPr>
      <w:r>
        <w:t>Rezultate mjerenja učinkovitosti</w:t>
      </w:r>
    </w:p>
    <w:p w:rsidR="00EA5DB8" w:rsidRDefault="00EA5DB8" w:rsidP="00EA5DB8">
      <w:pPr>
        <w:pStyle w:val="ListParagraph"/>
        <w:numPr>
          <w:ilvl w:val="1"/>
          <w:numId w:val="9"/>
        </w:numPr>
        <w:spacing w:line="360" w:lineRule="auto"/>
        <w:jc w:val="both"/>
      </w:pPr>
      <w:r>
        <w:t>Naknadne akcije iz prethodnih provjera uprave</w:t>
      </w:r>
    </w:p>
    <w:p w:rsidR="00EA5DB8" w:rsidRDefault="00EA5DB8" w:rsidP="00EA5DB8">
      <w:pPr>
        <w:pStyle w:val="ListParagraph"/>
        <w:numPr>
          <w:ilvl w:val="1"/>
          <w:numId w:val="9"/>
        </w:numPr>
        <w:spacing w:line="360" w:lineRule="auto"/>
        <w:jc w:val="both"/>
      </w:pPr>
      <w:r>
        <w:t>Preporuke za poboljšanje</w:t>
      </w:r>
    </w:p>
    <w:p w:rsidR="00EA5DB8" w:rsidRPr="00EA5DB8" w:rsidRDefault="00EA5DB8" w:rsidP="00EA5DB8">
      <w:pPr>
        <w:pStyle w:val="ListParagraph"/>
        <w:spacing w:line="360" w:lineRule="auto"/>
        <w:ind w:left="1440"/>
        <w:jc w:val="both"/>
      </w:pPr>
      <w:r>
        <w:t>...</w:t>
      </w:r>
    </w:p>
    <w:p w:rsidR="00FC24C8" w:rsidRDefault="00EA5DB8" w:rsidP="00FC24C8">
      <w:pPr>
        <w:pStyle w:val="ListParagraph"/>
        <w:numPr>
          <w:ilvl w:val="0"/>
          <w:numId w:val="9"/>
        </w:numPr>
        <w:spacing w:line="360" w:lineRule="auto"/>
        <w:jc w:val="both"/>
      </w:pPr>
      <w:r>
        <w:rPr>
          <w:b/>
        </w:rPr>
        <w:t xml:space="preserve">Rezultati provjere </w:t>
      </w:r>
      <w:r>
        <w:t>uprave moraju sadržavati sve odluke i akcije vezane uz sljedeće:</w:t>
      </w:r>
    </w:p>
    <w:p w:rsidR="00FC24C8" w:rsidRDefault="00EA5DB8" w:rsidP="00FC24C8">
      <w:pPr>
        <w:pStyle w:val="ListParagraph"/>
        <w:numPr>
          <w:ilvl w:val="1"/>
          <w:numId w:val="9"/>
        </w:numPr>
        <w:spacing w:line="360" w:lineRule="auto"/>
        <w:jc w:val="both"/>
      </w:pPr>
      <w:r>
        <w:t>Poboljšanje učinkovitosti ISMS-a</w:t>
      </w:r>
    </w:p>
    <w:p w:rsidR="00EA5DB8" w:rsidRDefault="00EA5DB8" w:rsidP="00FC24C8">
      <w:pPr>
        <w:pStyle w:val="ListParagraph"/>
        <w:numPr>
          <w:ilvl w:val="1"/>
          <w:numId w:val="9"/>
        </w:numPr>
        <w:spacing w:line="360" w:lineRule="auto"/>
        <w:jc w:val="both"/>
      </w:pPr>
      <w:r>
        <w:t>Ažuriranje procjene rizika i plana obrade rizika</w:t>
      </w:r>
    </w:p>
    <w:p w:rsidR="00EA5DB8" w:rsidRDefault="00EA5DB8" w:rsidP="00FC24C8">
      <w:pPr>
        <w:pStyle w:val="ListParagraph"/>
        <w:numPr>
          <w:ilvl w:val="1"/>
          <w:numId w:val="9"/>
        </w:numPr>
        <w:spacing w:line="360" w:lineRule="auto"/>
        <w:jc w:val="both"/>
      </w:pPr>
      <w:r>
        <w:t>Izmjene procedura i kontrola</w:t>
      </w:r>
    </w:p>
    <w:p w:rsidR="00EA5DB8" w:rsidRDefault="00EA5DB8" w:rsidP="00FC24C8">
      <w:pPr>
        <w:pStyle w:val="ListParagraph"/>
        <w:numPr>
          <w:ilvl w:val="1"/>
          <w:numId w:val="9"/>
        </w:numPr>
        <w:spacing w:line="360" w:lineRule="auto"/>
        <w:jc w:val="both"/>
      </w:pPr>
      <w:r>
        <w:t>Potrebe za sredstvima</w:t>
      </w:r>
    </w:p>
    <w:p w:rsidR="00EA5DB8" w:rsidRDefault="00EA5DB8" w:rsidP="00FC24C8">
      <w:pPr>
        <w:pStyle w:val="ListParagraph"/>
        <w:numPr>
          <w:ilvl w:val="1"/>
          <w:numId w:val="9"/>
        </w:numPr>
        <w:spacing w:line="360" w:lineRule="auto"/>
        <w:jc w:val="both"/>
      </w:pPr>
      <w:r>
        <w:t>Poboljšanja načina mjerenja učinkovitosti kontrola</w:t>
      </w:r>
    </w:p>
    <w:p w:rsidR="00EA5DB8" w:rsidRPr="00EA5DB8" w:rsidRDefault="00EA5DB8" w:rsidP="00EA5DB8">
      <w:pPr>
        <w:spacing w:line="360" w:lineRule="auto"/>
        <w:jc w:val="both"/>
      </w:pPr>
    </w:p>
    <w:p w:rsidR="00C839C0" w:rsidRDefault="00C839C0">
      <w:pPr>
        <w:rPr>
          <w:rFonts w:asciiTheme="majorHAnsi" w:eastAsiaTheme="majorEastAsia" w:hAnsiTheme="majorHAnsi" w:cstheme="majorBidi"/>
          <w:b/>
          <w:bCs/>
          <w:color w:val="365F91" w:themeColor="accent1" w:themeShade="BF"/>
          <w:sz w:val="28"/>
          <w:szCs w:val="28"/>
        </w:rPr>
      </w:pPr>
      <w:r>
        <w:br w:type="page"/>
      </w:r>
    </w:p>
    <w:p w:rsidR="000F3302" w:rsidRDefault="002A0F6A" w:rsidP="000F3302">
      <w:pPr>
        <w:pStyle w:val="Heading1"/>
        <w:spacing w:line="480" w:lineRule="auto"/>
      </w:pPr>
      <w:bookmarkStart w:id="23" w:name="_Toc377039894"/>
      <w:r>
        <w:lastRenderedPageBreak/>
        <w:t>9.Poboljšanje ISMS-a</w:t>
      </w:r>
      <w:bookmarkEnd w:id="23"/>
    </w:p>
    <w:p w:rsidR="000F3302" w:rsidRDefault="00E625D7" w:rsidP="000F3302">
      <w:pPr>
        <w:spacing w:line="360" w:lineRule="auto"/>
        <w:jc w:val="both"/>
      </w:pPr>
      <w:r>
        <w:t>Poboljšanje ISMS-a dijeli se na 3 skupine (</w:t>
      </w:r>
      <w:r w:rsidR="00C32B43">
        <w:fldChar w:fldCharType="begin"/>
      </w:r>
      <w:r w:rsidR="00C32B43">
        <w:instrText xml:space="preserve"> REF  _Ref376194000 \* Lower \h  \* MERGEFORMAT </w:instrText>
      </w:r>
      <w:r w:rsidR="00C32B43">
        <w:fldChar w:fldCharType="separate"/>
      </w:r>
      <w:r w:rsidR="00BB6910" w:rsidRPr="00E625D7">
        <w:rPr>
          <w:color w:val="000000" w:themeColor="text1"/>
        </w:rPr>
        <w:t xml:space="preserve">slika </w:t>
      </w:r>
      <w:r w:rsidR="00BB6910">
        <w:rPr>
          <w:noProof/>
          <w:color w:val="000000" w:themeColor="text1"/>
        </w:rPr>
        <w:t>4</w:t>
      </w:r>
      <w:r w:rsidR="00C32B43">
        <w:fldChar w:fldCharType="end"/>
      </w:r>
      <w:r>
        <w:t>):</w:t>
      </w:r>
    </w:p>
    <w:p w:rsidR="00E625D7" w:rsidRDefault="00E625D7" w:rsidP="00E625D7">
      <w:pPr>
        <w:keepNext/>
        <w:spacing w:line="360" w:lineRule="auto"/>
        <w:jc w:val="center"/>
      </w:pPr>
      <w:r>
        <w:rPr>
          <w:noProof/>
          <w:lang w:eastAsia="hr-HR"/>
        </w:rPr>
        <w:drawing>
          <wp:inline distT="0" distB="0" distL="0" distR="0" wp14:anchorId="6949B757" wp14:editId="4C0B85A2">
            <wp:extent cx="4076700" cy="23907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81208" cy="2393419"/>
                    </a:xfrm>
                    <a:prstGeom prst="rect">
                      <a:avLst/>
                    </a:prstGeom>
                    <a:ln>
                      <a:solidFill>
                        <a:schemeClr val="accent1"/>
                      </a:solidFill>
                    </a:ln>
                  </pic:spPr>
                </pic:pic>
              </a:graphicData>
            </a:graphic>
          </wp:inline>
        </w:drawing>
      </w:r>
    </w:p>
    <w:p w:rsidR="00E625D7" w:rsidRPr="00E625D7" w:rsidRDefault="00E625D7" w:rsidP="00E625D7">
      <w:pPr>
        <w:pStyle w:val="Caption"/>
        <w:jc w:val="center"/>
        <w:rPr>
          <w:color w:val="000000" w:themeColor="text1"/>
          <w:sz w:val="36"/>
        </w:rPr>
      </w:pPr>
      <w:bookmarkStart w:id="24" w:name="_Ref376194000"/>
      <w:r w:rsidRPr="00E625D7">
        <w:rPr>
          <w:color w:val="000000" w:themeColor="text1"/>
          <w:sz w:val="24"/>
        </w:rPr>
        <w:t xml:space="preserve">Slika </w:t>
      </w:r>
      <w:r w:rsidRPr="00E625D7">
        <w:rPr>
          <w:color w:val="000000" w:themeColor="text1"/>
          <w:sz w:val="24"/>
        </w:rPr>
        <w:fldChar w:fldCharType="begin"/>
      </w:r>
      <w:r w:rsidRPr="00E625D7">
        <w:rPr>
          <w:color w:val="000000" w:themeColor="text1"/>
          <w:sz w:val="24"/>
        </w:rPr>
        <w:instrText xml:space="preserve"> SEQ Slika \* ARABIC </w:instrText>
      </w:r>
      <w:r w:rsidRPr="00E625D7">
        <w:rPr>
          <w:color w:val="000000" w:themeColor="text1"/>
          <w:sz w:val="24"/>
        </w:rPr>
        <w:fldChar w:fldCharType="separate"/>
      </w:r>
      <w:r w:rsidR="00BB6910">
        <w:rPr>
          <w:noProof/>
          <w:color w:val="000000" w:themeColor="text1"/>
          <w:sz w:val="24"/>
        </w:rPr>
        <w:t>4</w:t>
      </w:r>
      <w:r w:rsidRPr="00E625D7">
        <w:rPr>
          <w:color w:val="000000" w:themeColor="text1"/>
          <w:sz w:val="24"/>
        </w:rPr>
        <w:fldChar w:fldCharType="end"/>
      </w:r>
      <w:bookmarkEnd w:id="24"/>
      <w:r w:rsidRPr="00E625D7">
        <w:rPr>
          <w:color w:val="000000" w:themeColor="text1"/>
          <w:sz w:val="24"/>
        </w:rPr>
        <w:t xml:space="preserve"> - Poboljšanje ISMS-a</w:t>
      </w:r>
    </w:p>
    <w:p w:rsidR="000F3302" w:rsidRDefault="00CE0D72" w:rsidP="000F3302">
      <w:pPr>
        <w:spacing w:line="360" w:lineRule="auto"/>
        <w:jc w:val="both"/>
      </w:pPr>
      <w:r>
        <w:t xml:space="preserve">Kada se govori o </w:t>
      </w:r>
      <w:r>
        <w:rPr>
          <w:b/>
        </w:rPr>
        <w:t>stalnom poboljšanju</w:t>
      </w:r>
      <w:r>
        <w:t xml:space="preserve">, onda se misli na to da organizacija mora konstantno poboljšavati učinkovitost ISMS-a. </w:t>
      </w:r>
      <w:r w:rsidR="00E31304">
        <w:t>Poboljšavanje učinkovitosti ISMS-a odvija se kroz uporabu politike informacijske sigurnosti, ciljeva informacijske sigurnosti, rezultata prosudbi i slično.</w:t>
      </w:r>
    </w:p>
    <w:p w:rsidR="00A818F2" w:rsidRDefault="00A818F2" w:rsidP="000F3302">
      <w:pPr>
        <w:spacing w:line="360" w:lineRule="auto"/>
        <w:jc w:val="both"/>
      </w:pPr>
      <w:r>
        <w:t xml:space="preserve">Osim stalnog poboljšavanja, moraju se poduzimati i </w:t>
      </w:r>
      <w:r>
        <w:rPr>
          <w:b/>
        </w:rPr>
        <w:t>korektivne akcije</w:t>
      </w:r>
      <w:r>
        <w:t xml:space="preserve"> kako bi se uklonili uzroci nesukladnosti sa ISMS zahtjevima, te se mora provoditi dokumentirana procedura za korektivnu akciju, koja </w:t>
      </w:r>
      <w:r w:rsidR="002D2918">
        <w:t>pak mora definirati zahtjeve za: [</w:t>
      </w:r>
      <w:r w:rsidR="002D2918" w:rsidRPr="007A3F23">
        <w:t>Zavod za ispitivanje kvalitete d.o.o.</w:t>
      </w:r>
      <w:r w:rsidR="002D2918">
        <w:t>, 2007, str. 12]</w:t>
      </w:r>
    </w:p>
    <w:p w:rsidR="00A818F2" w:rsidRDefault="00A818F2" w:rsidP="00A818F2">
      <w:pPr>
        <w:pStyle w:val="ListParagraph"/>
        <w:numPr>
          <w:ilvl w:val="0"/>
          <w:numId w:val="9"/>
        </w:numPr>
        <w:spacing w:line="360" w:lineRule="auto"/>
        <w:jc w:val="both"/>
      </w:pPr>
      <w:r>
        <w:t>Identificiranje nesukladnosti</w:t>
      </w:r>
    </w:p>
    <w:p w:rsidR="00A818F2" w:rsidRDefault="00A818F2" w:rsidP="00A818F2">
      <w:pPr>
        <w:pStyle w:val="ListParagraph"/>
        <w:numPr>
          <w:ilvl w:val="0"/>
          <w:numId w:val="9"/>
        </w:numPr>
        <w:spacing w:line="360" w:lineRule="auto"/>
        <w:jc w:val="both"/>
      </w:pPr>
      <w:r>
        <w:t>Ustanovljavanje uzroka nesukladnosti</w:t>
      </w:r>
    </w:p>
    <w:p w:rsidR="00A818F2" w:rsidRDefault="00A818F2" w:rsidP="00A818F2">
      <w:pPr>
        <w:pStyle w:val="ListParagraph"/>
        <w:numPr>
          <w:ilvl w:val="0"/>
          <w:numId w:val="9"/>
        </w:numPr>
        <w:spacing w:line="360" w:lineRule="auto"/>
        <w:jc w:val="both"/>
      </w:pPr>
      <w:r>
        <w:t>Ustanovljavanje i implementiranje potrebne korektivne akcije</w:t>
      </w:r>
    </w:p>
    <w:p w:rsidR="00A818F2" w:rsidRDefault="00A818F2" w:rsidP="00A818F2">
      <w:pPr>
        <w:pStyle w:val="ListParagraph"/>
        <w:numPr>
          <w:ilvl w:val="0"/>
          <w:numId w:val="9"/>
        </w:numPr>
        <w:spacing w:line="360" w:lineRule="auto"/>
        <w:jc w:val="both"/>
      </w:pPr>
      <w:r>
        <w:t>Provjeravanje poduzete korektivne akcije</w:t>
      </w:r>
    </w:p>
    <w:p w:rsidR="00A818F2" w:rsidRDefault="00A818F2" w:rsidP="00A818F2">
      <w:pPr>
        <w:pStyle w:val="ListParagraph"/>
        <w:spacing w:line="360" w:lineRule="auto"/>
        <w:jc w:val="both"/>
      </w:pPr>
      <w:r>
        <w:t>...</w:t>
      </w:r>
    </w:p>
    <w:p w:rsidR="00A818F2" w:rsidRDefault="000046C4" w:rsidP="00A818F2">
      <w:pPr>
        <w:spacing w:line="360" w:lineRule="auto"/>
        <w:jc w:val="both"/>
      </w:pPr>
      <w:r>
        <w:t xml:space="preserve">Na kraju, pored stalnog poboljšanja i korektivnih akcija, postoje i </w:t>
      </w:r>
      <w:r>
        <w:rPr>
          <w:b/>
        </w:rPr>
        <w:t>preventivne akcije</w:t>
      </w:r>
      <w:r>
        <w:t>, što podrazumijeva da organizacija mora odrediti akciju za uklanjanje uzroka koji može uzrokovati potencijalne nesukladnosti sa ISMS zahtjevima.</w:t>
      </w:r>
      <w:r w:rsidR="00C878CF">
        <w:t xml:space="preserve"> Organizacija mora identificirati promijenjene rizike i identificirati zahtjeve za preventivnom akcijom s pažnjom usmjereno</w:t>
      </w:r>
      <w:r w:rsidR="002D2918">
        <w:t>m na znatno promijenjene rizike [</w:t>
      </w:r>
      <w:r w:rsidR="002D2918" w:rsidRPr="007A3F23">
        <w:t>Zavod za ispitivanje kvalitete d.o.o.</w:t>
      </w:r>
      <w:r w:rsidR="002D2918">
        <w:t>, 2007, str. 12].</w:t>
      </w:r>
    </w:p>
    <w:p w:rsidR="00BC018D" w:rsidRDefault="00BC018D" w:rsidP="00A818F2">
      <w:pPr>
        <w:spacing w:line="360" w:lineRule="auto"/>
        <w:jc w:val="both"/>
      </w:pPr>
    </w:p>
    <w:p w:rsidR="00BC018D" w:rsidRDefault="00BC018D" w:rsidP="00BC018D">
      <w:pPr>
        <w:pStyle w:val="Heading1"/>
        <w:spacing w:line="480" w:lineRule="auto"/>
        <w:jc w:val="both"/>
      </w:pPr>
      <w:bookmarkStart w:id="25" w:name="_Toc377039895"/>
      <w:r>
        <w:lastRenderedPageBreak/>
        <w:t>10.</w:t>
      </w:r>
      <w:r w:rsidR="00811DA1">
        <w:t>ISO 27001 certificiranje</w:t>
      </w:r>
      <w:bookmarkEnd w:id="25"/>
    </w:p>
    <w:p w:rsidR="00AC2693" w:rsidRPr="00AC2693" w:rsidRDefault="00AC2693" w:rsidP="00AC2693">
      <w:pPr>
        <w:spacing w:line="360" w:lineRule="auto"/>
        <w:jc w:val="both"/>
      </w:pPr>
      <w:r w:rsidRPr="00AC2693">
        <w:t>Kažu da je dobro da organizacija ima ISO 27001 certifikat, ali zašto? CRN (Computer Reseller News) 2009.godine najbolje</w:t>
      </w:r>
      <w:r>
        <w:t xml:space="preserve"> je to predočio sa 10 razloga:</w:t>
      </w:r>
      <w:r w:rsidR="00D626DF">
        <w:t xml:space="preserve"> [CRN.com.au, 2013]</w:t>
      </w:r>
    </w:p>
    <w:p w:rsidR="00D253D0" w:rsidRDefault="00AC2693" w:rsidP="00D253D0">
      <w:pPr>
        <w:pStyle w:val="ListParagraph"/>
        <w:numPr>
          <w:ilvl w:val="0"/>
          <w:numId w:val="10"/>
        </w:numPr>
        <w:spacing w:line="360" w:lineRule="auto"/>
        <w:jc w:val="both"/>
      </w:pPr>
      <w:r w:rsidRPr="00AC2693">
        <w:t>ISO 27001 je internacionalno prepoznat, pa će i iskustvo organizacije biti</w:t>
      </w:r>
    </w:p>
    <w:p w:rsidR="00AC2693" w:rsidRPr="00D253D0" w:rsidRDefault="00AC2693" w:rsidP="00D253D0">
      <w:pPr>
        <w:pStyle w:val="ListParagraph"/>
        <w:numPr>
          <w:ilvl w:val="0"/>
          <w:numId w:val="10"/>
        </w:numPr>
        <w:spacing w:line="360" w:lineRule="auto"/>
        <w:jc w:val="both"/>
      </w:pPr>
      <w:r w:rsidRPr="00D253D0">
        <w:t>Najbolja praksa; odvajanje onih sa stvarnim iskustvom od onih koji samo razmišljaju o tome na način da se profitira od iskustva drugih</w:t>
      </w:r>
    </w:p>
    <w:p w:rsidR="00AC2693" w:rsidRPr="00AC2693" w:rsidRDefault="00AC2693" w:rsidP="00AC2693">
      <w:pPr>
        <w:pStyle w:val="ListParagraph"/>
        <w:numPr>
          <w:ilvl w:val="0"/>
          <w:numId w:val="10"/>
        </w:numPr>
        <w:spacing w:line="360" w:lineRule="auto"/>
        <w:jc w:val="both"/>
      </w:pPr>
      <w:r w:rsidRPr="00AC2693">
        <w:t>Baziran na riziku; gleda što organizacija treba, te ne nameće određene standarde; pravovremeni, pravedni i isplativ savjet</w:t>
      </w:r>
    </w:p>
    <w:p w:rsidR="00AC2693" w:rsidRPr="00AC2693" w:rsidRDefault="00AC2693" w:rsidP="00AC2693">
      <w:pPr>
        <w:pStyle w:val="ListParagraph"/>
        <w:numPr>
          <w:ilvl w:val="0"/>
          <w:numId w:val="10"/>
        </w:numPr>
        <w:spacing w:line="360" w:lineRule="auto"/>
        <w:jc w:val="both"/>
      </w:pPr>
      <w:r w:rsidRPr="00AC2693">
        <w:t>Standard za upravljanje, a ne tehnički standard; daje model upravi koja tada mora pokazati svoje vještine donošenja odluka</w:t>
      </w:r>
    </w:p>
    <w:p w:rsidR="00AC2693" w:rsidRPr="00AC2693" w:rsidRDefault="00AC2693" w:rsidP="00AC2693">
      <w:pPr>
        <w:pStyle w:val="ListParagraph"/>
        <w:numPr>
          <w:ilvl w:val="0"/>
          <w:numId w:val="10"/>
        </w:numPr>
        <w:spacing w:line="360" w:lineRule="auto"/>
        <w:jc w:val="both"/>
      </w:pPr>
      <w:r w:rsidRPr="00AC2693">
        <w:t>Holistički; razmatra sve aspekte informacijske sigurnosti, ne samo tehničke mjere, demonstrira dubinu i širinu</w:t>
      </w:r>
    </w:p>
    <w:p w:rsidR="00AC2693" w:rsidRPr="00AC2693" w:rsidRDefault="00AC2693" w:rsidP="00AC2693">
      <w:pPr>
        <w:pStyle w:val="ListParagraph"/>
        <w:numPr>
          <w:ilvl w:val="0"/>
          <w:numId w:val="10"/>
        </w:numPr>
        <w:spacing w:line="360" w:lineRule="auto"/>
        <w:jc w:val="both"/>
      </w:pPr>
      <w:r w:rsidRPr="00AC2693">
        <w:t>Organizacije mogu biti nezavisno certificirane; daje vanjski nezavisni pogled na poslove o sigurnosti u organizaciji</w:t>
      </w:r>
    </w:p>
    <w:p w:rsidR="00AC2693" w:rsidRPr="00AC2693" w:rsidRDefault="00AC2693" w:rsidP="00AC2693">
      <w:pPr>
        <w:pStyle w:val="ListParagraph"/>
        <w:numPr>
          <w:ilvl w:val="0"/>
          <w:numId w:val="10"/>
        </w:numPr>
        <w:spacing w:line="360" w:lineRule="auto"/>
        <w:jc w:val="both"/>
      </w:pPr>
      <w:r w:rsidRPr="00AC2693">
        <w:t>Daje način kako držati rizike pod kontrolom, dopuštajući redovit pregled i objektivnu analizu rizika</w:t>
      </w:r>
    </w:p>
    <w:p w:rsidR="00AC2693" w:rsidRPr="00AC2693" w:rsidRDefault="00AC2693" w:rsidP="00AC2693">
      <w:pPr>
        <w:pStyle w:val="ListParagraph"/>
        <w:numPr>
          <w:ilvl w:val="0"/>
          <w:numId w:val="10"/>
        </w:numPr>
        <w:spacing w:line="360" w:lineRule="auto"/>
        <w:jc w:val="both"/>
      </w:pPr>
      <w:r w:rsidRPr="00AC2693">
        <w:t>Daje proces za praćenje sigurnosti i napretka; mogućnost dokazivanja koristi od sigurnosti i ulaganja u sigurnost</w:t>
      </w:r>
    </w:p>
    <w:p w:rsidR="00D253D0" w:rsidRDefault="00AC2693" w:rsidP="00D253D0">
      <w:pPr>
        <w:pStyle w:val="ListParagraph"/>
        <w:numPr>
          <w:ilvl w:val="0"/>
          <w:numId w:val="10"/>
        </w:numPr>
        <w:spacing w:line="360" w:lineRule="auto"/>
        <w:jc w:val="both"/>
      </w:pPr>
      <w:r w:rsidRPr="00AC2693">
        <w:t>Komplementaran je sa drugim standardima, poput ISO 9001, ISO 14001 i ISO 20001</w:t>
      </w:r>
    </w:p>
    <w:p w:rsidR="00BC018D" w:rsidRDefault="00AC2693" w:rsidP="00D253D0">
      <w:pPr>
        <w:pStyle w:val="ListParagraph"/>
        <w:numPr>
          <w:ilvl w:val="0"/>
          <w:numId w:val="10"/>
        </w:numPr>
        <w:spacing w:line="360" w:lineRule="auto"/>
        <w:jc w:val="both"/>
      </w:pPr>
      <w:r w:rsidRPr="00D253D0">
        <w:t>Svaka organizacija sa ISO 27001 certifikatom je izjavila da je popravila upravljanje sigurnošću u organizaciji</w:t>
      </w:r>
    </w:p>
    <w:p w:rsidR="007D03F0" w:rsidRDefault="00C73319" w:rsidP="007D03F0">
      <w:pPr>
        <w:spacing w:line="360" w:lineRule="auto"/>
        <w:jc w:val="both"/>
      </w:pPr>
      <w:r>
        <w:t>Zanimljiv podatak su države koje imaju najveći broj certifikata. Za početak, slika niže (</w:t>
      </w:r>
      <w:r w:rsidR="00B421EE">
        <w:fldChar w:fldCharType="begin"/>
      </w:r>
      <w:r w:rsidR="00B421EE">
        <w:instrText xml:space="preserve"> REF  _Ref376195086 \* Lower \h  \* MERGEFORMAT </w:instrText>
      </w:r>
      <w:r w:rsidR="00B421EE">
        <w:fldChar w:fldCharType="separate"/>
      </w:r>
      <w:r w:rsidR="00BB6910" w:rsidRPr="00C73319">
        <w:rPr>
          <w:color w:val="000000" w:themeColor="text1"/>
        </w:rPr>
        <w:t xml:space="preserve">slika </w:t>
      </w:r>
      <w:r w:rsidR="00BB6910">
        <w:rPr>
          <w:noProof/>
          <w:color w:val="000000" w:themeColor="text1"/>
        </w:rPr>
        <w:t>5</w:t>
      </w:r>
      <w:r w:rsidR="00B421EE">
        <w:fldChar w:fldCharType="end"/>
      </w:r>
      <w:r>
        <w:t>) prikazuje države i dodijeljen</w:t>
      </w:r>
      <w:r w:rsidR="00D626DF">
        <w:t>e im certifikate u 2012. Godini [ISO, 2012].</w:t>
      </w:r>
    </w:p>
    <w:p w:rsidR="00C73319" w:rsidRDefault="00C73319" w:rsidP="00C73319">
      <w:pPr>
        <w:keepNext/>
        <w:spacing w:line="360" w:lineRule="auto"/>
        <w:jc w:val="both"/>
      </w:pPr>
      <w:r>
        <w:rPr>
          <w:noProof/>
          <w:lang w:eastAsia="hr-HR"/>
        </w:rPr>
        <w:lastRenderedPageBreak/>
        <w:drawing>
          <wp:inline distT="0" distB="0" distL="0" distR="0" wp14:anchorId="71126972" wp14:editId="6A643332">
            <wp:extent cx="5760720" cy="296855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968553"/>
                    </a:xfrm>
                    <a:prstGeom prst="rect">
                      <a:avLst/>
                    </a:prstGeom>
                  </pic:spPr>
                </pic:pic>
              </a:graphicData>
            </a:graphic>
          </wp:inline>
        </w:drawing>
      </w:r>
    </w:p>
    <w:p w:rsidR="00C73319" w:rsidRPr="00C73319" w:rsidRDefault="00C73319" w:rsidP="00C73319">
      <w:pPr>
        <w:pStyle w:val="Caption"/>
        <w:jc w:val="center"/>
        <w:rPr>
          <w:color w:val="000000" w:themeColor="text1"/>
          <w:sz w:val="36"/>
        </w:rPr>
      </w:pPr>
      <w:bookmarkStart w:id="26" w:name="_Ref376195086"/>
      <w:r w:rsidRPr="00C73319">
        <w:rPr>
          <w:color w:val="000000" w:themeColor="text1"/>
          <w:sz w:val="24"/>
        </w:rPr>
        <w:t xml:space="preserve">Slika </w:t>
      </w:r>
      <w:r w:rsidRPr="00C73319">
        <w:rPr>
          <w:color w:val="000000" w:themeColor="text1"/>
          <w:sz w:val="24"/>
        </w:rPr>
        <w:fldChar w:fldCharType="begin"/>
      </w:r>
      <w:r w:rsidRPr="00C73319">
        <w:rPr>
          <w:color w:val="000000" w:themeColor="text1"/>
          <w:sz w:val="24"/>
        </w:rPr>
        <w:instrText xml:space="preserve"> SEQ Slika \* ARABIC </w:instrText>
      </w:r>
      <w:r w:rsidRPr="00C73319">
        <w:rPr>
          <w:color w:val="000000" w:themeColor="text1"/>
          <w:sz w:val="24"/>
        </w:rPr>
        <w:fldChar w:fldCharType="separate"/>
      </w:r>
      <w:r w:rsidR="00BB6910">
        <w:rPr>
          <w:noProof/>
          <w:color w:val="000000" w:themeColor="text1"/>
          <w:sz w:val="24"/>
        </w:rPr>
        <w:t>5</w:t>
      </w:r>
      <w:r w:rsidRPr="00C73319">
        <w:rPr>
          <w:color w:val="000000" w:themeColor="text1"/>
          <w:sz w:val="24"/>
        </w:rPr>
        <w:fldChar w:fldCharType="end"/>
      </w:r>
      <w:bookmarkEnd w:id="26"/>
      <w:r w:rsidRPr="00C73319">
        <w:rPr>
          <w:color w:val="000000" w:themeColor="text1"/>
          <w:sz w:val="24"/>
        </w:rPr>
        <w:t xml:space="preserve"> - ISO 27001 certificiranje u 2012. godini [ISO</w:t>
      </w:r>
      <w:r>
        <w:rPr>
          <w:color w:val="000000" w:themeColor="text1"/>
          <w:sz w:val="24"/>
        </w:rPr>
        <w:t>27001</w:t>
      </w:r>
      <w:r w:rsidRPr="00C73319">
        <w:rPr>
          <w:color w:val="000000" w:themeColor="text1"/>
          <w:sz w:val="24"/>
        </w:rPr>
        <w:t>, 2012]</w:t>
      </w:r>
    </w:p>
    <w:p w:rsidR="009739B9" w:rsidRDefault="003745B2" w:rsidP="007D03F0">
      <w:pPr>
        <w:spacing w:line="360" w:lineRule="auto"/>
        <w:jc w:val="both"/>
      </w:pPr>
      <w:r>
        <w:t>U sljedećoj tablici (</w:t>
      </w:r>
      <w:r w:rsidR="005D4A70">
        <w:fldChar w:fldCharType="begin"/>
      </w:r>
      <w:r w:rsidR="005D4A70">
        <w:instrText xml:space="preserve"> REF  _Ref376195587 \* Lower \h  \* MERGEFORMAT </w:instrText>
      </w:r>
      <w:r w:rsidR="005D4A70">
        <w:fldChar w:fldCharType="separate"/>
      </w:r>
      <w:r w:rsidR="00BB6910" w:rsidRPr="005D4A70">
        <w:rPr>
          <w:color w:val="000000" w:themeColor="text1"/>
        </w:rPr>
        <w:t xml:space="preserve">tablica </w:t>
      </w:r>
      <w:r w:rsidR="00BB6910">
        <w:rPr>
          <w:noProof/>
          <w:color w:val="000000" w:themeColor="text1"/>
        </w:rPr>
        <w:t>3</w:t>
      </w:r>
      <w:r w:rsidR="005D4A70">
        <w:fldChar w:fldCharType="end"/>
      </w:r>
      <w:r>
        <w:t xml:space="preserve">) prikazano je 10 država s najviše dodijeljenih ISO 27001 certifikata u 2012. godini: </w:t>
      </w:r>
    </w:p>
    <w:p w:rsidR="005D4A70" w:rsidRPr="005D4A70" w:rsidRDefault="005D4A70" w:rsidP="005D4A70">
      <w:pPr>
        <w:pStyle w:val="Caption"/>
        <w:keepNext/>
        <w:jc w:val="center"/>
        <w:rPr>
          <w:color w:val="000000" w:themeColor="text1"/>
          <w:sz w:val="24"/>
        </w:rPr>
      </w:pPr>
      <w:bookmarkStart w:id="27" w:name="_Ref376195587"/>
      <w:r w:rsidRPr="005D4A70">
        <w:rPr>
          <w:color w:val="000000" w:themeColor="text1"/>
          <w:sz w:val="24"/>
        </w:rPr>
        <w:t xml:space="preserve">Tablica </w:t>
      </w:r>
      <w:r w:rsidRPr="005D4A70">
        <w:rPr>
          <w:color w:val="000000" w:themeColor="text1"/>
          <w:sz w:val="24"/>
        </w:rPr>
        <w:fldChar w:fldCharType="begin"/>
      </w:r>
      <w:r w:rsidRPr="005D4A70">
        <w:rPr>
          <w:color w:val="000000" w:themeColor="text1"/>
          <w:sz w:val="24"/>
        </w:rPr>
        <w:instrText xml:space="preserve"> SEQ Tablica \* ARABIC </w:instrText>
      </w:r>
      <w:r w:rsidRPr="005D4A70">
        <w:rPr>
          <w:color w:val="000000" w:themeColor="text1"/>
          <w:sz w:val="24"/>
        </w:rPr>
        <w:fldChar w:fldCharType="separate"/>
      </w:r>
      <w:r w:rsidR="00BB6910">
        <w:rPr>
          <w:noProof/>
          <w:color w:val="000000" w:themeColor="text1"/>
          <w:sz w:val="24"/>
        </w:rPr>
        <w:t>3</w:t>
      </w:r>
      <w:r w:rsidRPr="005D4A70">
        <w:rPr>
          <w:color w:val="000000" w:themeColor="text1"/>
          <w:sz w:val="24"/>
        </w:rPr>
        <w:fldChar w:fldCharType="end"/>
      </w:r>
      <w:bookmarkEnd w:id="27"/>
      <w:r w:rsidRPr="005D4A70">
        <w:rPr>
          <w:color w:val="000000" w:themeColor="text1"/>
          <w:sz w:val="24"/>
        </w:rPr>
        <w:t xml:space="preserve"> - TOP 10 država s najviše dodijeljenih ISO 27001 certifikata [ISO27001, 2012]</w:t>
      </w:r>
    </w:p>
    <w:tbl>
      <w:tblPr>
        <w:tblStyle w:val="TableGrid"/>
        <w:tblW w:w="0" w:type="auto"/>
        <w:jc w:val="center"/>
        <w:tblLook w:val="04A0" w:firstRow="1" w:lastRow="0" w:firstColumn="1" w:lastColumn="0" w:noHBand="0" w:noVBand="1"/>
      </w:tblPr>
      <w:tblGrid>
        <w:gridCol w:w="1134"/>
        <w:gridCol w:w="3969"/>
        <w:gridCol w:w="2268"/>
      </w:tblGrid>
      <w:tr w:rsidR="005D4A70" w:rsidRPr="005D4A70" w:rsidTr="005D4A70">
        <w:trPr>
          <w:trHeight w:val="454"/>
          <w:jc w:val="center"/>
        </w:trPr>
        <w:tc>
          <w:tcPr>
            <w:tcW w:w="1134" w:type="dxa"/>
            <w:shd w:val="clear" w:color="auto" w:fill="DBE5F1" w:themeFill="accent1" w:themeFillTint="33"/>
            <w:vAlign w:val="center"/>
          </w:tcPr>
          <w:p w:rsidR="005D4A70" w:rsidRPr="005D4A70" w:rsidRDefault="005D4A70" w:rsidP="005D4A70">
            <w:pPr>
              <w:jc w:val="center"/>
              <w:rPr>
                <w:b/>
              </w:rPr>
            </w:pPr>
            <w:r w:rsidRPr="005D4A70">
              <w:rPr>
                <w:b/>
              </w:rPr>
              <w:t>RB</w:t>
            </w:r>
          </w:p>
        </w:tc>
        <w:tc>
          <w:tcPr>
            <w:tcW w:w="3969" w:type="dxa"/>
            <w:shd w:val="clear" w:color="auto" w:fill="DBE5F1" w:themeFill="accent1" w:themeFillTint="33"/>
            <w:vAlign w:val="center"/>
          </w:tcPr>
          <w:p w:rsidR="005D4A70" w:rsidRPr="005D4A70" w:rsidRDefault="005D4A70" w:rsidP="005D4A70">
            <w:pPr>
              <w:jc w:val="center"/>
              <w:rPr>
                <w:b/>
              </w:rPr>
            </w:pPr>
            <w:r w:rsidRPr="005D4A70">
              <w:rPr>
                <w:b/>
              </w:rPr>
              <w:t>Država</w:t>
            </w:r>
          </w:p>
        </w:tc>
        <w:tc>
          <w:tcPr>
            <w:tcW w:w="2268" w:type="dxa"/>
            <w:shd w:val="clear" w:color="auto" w:fill="DBE5F1" w:themeFill="accent1" w:themeFillTint="33"/>
            <w:vAlign w:val="center"/>
          </w:tcPr>
          <w:p w:rsidR="005D4A70" w:rsidRPr="005D4A70" w:rsidRDefault="005D4A70" w:rsidP="005D4A70">
            <w:pPr>
              <w:jc w:val="center"/>
              <w:rPr>
                <w:b/>
              </w:rPr>
            </w:pPr>
            <w:r w:rsidRPr="005D4A70">
              <w:rPr>
                <w:b/>
              </w:rPr>
              <w:t>Broj certifikata</w:t>
            </w:r>
          </w:p>
        </w:tc>
      </w:tr>
      <w:tr w:rsidR="005D4A70" w:rsidTr="005D4A70">
        <w:trPr>
          <w:trHeight w:val="454"/>
          <w:jc w:val="center"/>
        </w:trPr>
        <w:tc>
          <w:tcPr>
            <w:tcW w:w="1134" w:type="dxa"/>
            <w:vAlign w:val="center"/>
          </w:tcPr>
          <w:p w:rsidR="005D4A70" w:rsidRDefault="005D4A70" w:rsidP="005D4A70">
            <w:pPr>
              <w:jc w:val="center"/>
            </w:pPr>
            <w:r>
              <w:t>1.</w:t>
            </w:r>
          </w:p>
        </w:tc>
        <w:tc>
          <w:tcPr>
            <w:tcW w:w="3969" w:type="dxa"/>
            <w:vAlign w:val="center"/>
          </w:tcPr>
          <w:p w:rsidR="005D4A70" w:rsidRDefault="005D4A70" w:rsidP="005D4A70">
            <w:pPr>
              <w:jc w:val="center"/>
            </w:pPr>
            <w:r>
              <w:t>Japan</w:t>
            </w:r>
          </w:p>
        </w:tc>
        <w:tc>
          <w:tcPr>
            <w:tcW w:w="2268" w:type="dxa"/>
            <w:vAlign w:val="center"/>
          </w:tcPr>
          <w:p w:rsidR="005D4A70" w:rsidRDefault="005D4A70" w:rsidP="005D4A70">
            <w:pPr>
              <w:jc w:val="center"/>
            </w:pPr>
            <w:r>
              <w:t>7199</w:t>
            </w:r>
          </w:p>
        </w:tc>
      </w:tr>
      <w:tr w:rsidR="005D4A70" w:rsidTr="005D4A70">
        <w:trPr>
          <w:trHeight w:val="454"/>
          <w:jc w:val="center"/>
        </w:trPr>
        <w:tc>
          <w:tcPr>
            <w:tcW w:w="1134" w:type="dxa"/>
            <w:vAlign w:val="center"/>
          </w:tcPr>
          <w:p w:rsidR="005D4A70" w:rsidRDefault="005D4A70" w:rsidP="005D4A70">
            <w:pPr>
              <w:jc w:val="center"/>
            </w:pPr>
            <w:r>
              <w:t>2.</w:t>
            </w:r>
          </w:p>
        </w:tc>
        <w:tc>
          <w:tcPr>
            <w:tcW w:w="3969" w:type="dxa"/>
            <w:vAlign w:val="center"/>
          </w:tcPr>
          <w:p w:rsidR="005D4A70" w:rsidRDefault="005D4A70" w:rsidP="005D4A70">
            <w:pPr>
              <w:jc w:val="center"/>
            </w:pPr>
            <w:r>
              <w:t>Velika Britanija</w:t>
            </w:r>
          </w:p>
        </w:tc>
        <w:tc>
          <w:tcPr>
            <w:tcW w:w="2268" w:type="dxa"/>
            <w:vAlign w:val="center"/>
          </w:tcPr>
          <w:p w:rsidR="005D4A70" w:rsidRDefault="005D4A70" w:rsidP="005D4A70">
            <w:pPr>
              <w:jc w:val="center"/>
            </w:pPr>
            <w:r>
              <w:t>1701</w:t>
            </w:r>
          </w:p>
        </w:tc>
      </w:tr>
      <w:tr w:rsidR="005D4A70" w:rsidTr="005D4A70">
        <w:trPr>
          <w:trHeight w:val="454"/>
          <w:jc w:val="center"/>
        </w:trPr>
        <w:tc>
          <w:tcPr>
            <w:tcW w:w="1134" w:type="dxa"/>
            <w:vAlign w:val="center"/>
          </w:tcPr>
          <w:p w:rsidR="005D4A70" w:rsidRDefault="005D4A70" w:rsidP="005D4A70">
            <w:pPr>
              <w:jc w:val="center"/>
            </w:pPr>
            <w:r>
              <w:t>3.</w:t>
            </w:r>
          </w:p>
        </w:tc>
        <w:tc>
          <w:tcPr>
            <w:tcW w:w="3969" w:type="dxa"/>
            <w:vAlign w:val="center"/>
          </w:tcPr>
          <w:p w:rsidR="005D4A70" w:rsidRDefault="005D4A70" w:rsidP="005D4A70">
            <w:pPr>
              <w:jc w:val="center"/>
            </w:pPr>
            <w:r>
              <w:t>Indija</w:t>
            </w:r>
          </w:p>
        </w:tc>
        <w:tc>
          <w:tcPr>
            <w:tcW w:w="2268" w:type="dxa"/>
            <w:vAlign w:val="center"/>
          </w:tcPr>
          <w:p w:rsidR="005D4A70" w:rsidRDefault="005D4A70" w:rsidP="005D4A70">
            <w:pPr>
              <w:jc w:val="center"/>
            </w:pPr>
            <w:r>
              <w:t>1600</w:t>
            </w:r>
          </w:p>
        </w:tc>
      </w:tr>
      <w:tr w:rsidR="005D4A70" w:rsidTr="005D4A70">
        <w:trPr>
          <w:trHeight w:val="454"/>
          <w:jc w:val="center"/>
        </w:trPr>
        <w:tc>
          <w:tcPr>
            <w:tcW w:w="1134" w:type="dxa"/>
            <w:vAlign w:val="center"/>
          </w:tcPr>
          <w:p w:rsidR="005D4A70" w:rsidRDefault="005D4A70" w:rsidP="005D4A70">
            <w:pPr>
              <w:jc w:val="center"/>
            </w:pPr>
            <w:r>
              <w:t>4.</w:t>
            </w:r>
          </w:p>
        </w:tc>
        <w:tc>
          <w:tcPr>
            <w:tcW w:w="3969" w:type="dxa"/>
            <w:vAlign w:val="center"/>
          </w:tcPr>
          <w:p w:rsidR="005D4A70" w:rsidRDefault="005D4A70" w:rsidP="005D4A70">
            <w:pPr>
              <w:jc w:val="center"/>
            </w:pPr>
            <w:r>
              <w:t>Kina</w:t>
            </w:r>
          </w:p>
        </w:tc>
        <w:tc>
          <w:tcPr>
            <w:tcW w:w="2268" w:type="dxa"/>
            <w:vAlign w:val="center"/>
          </w:tcPr>
          <w:p w:rsidR="005D4A70" w:rsidRDefault="005D4A70" w:rsidP="005D4A70">
            <w:pPr>
              <w:jc w:val="center"/>
            </w:pPr>
            <w:r>
              <w:t>1490</w:t>
            </w:r>
          </w:p>
        </w:tc>
      </w:tr>
      <w:tr w:rsidR="005D4A70" w:rsidTr="005D4A70">
        <w:trPr>
          <w:trHeight w:val="454"/>
          <w:jc w:val="center"/>
        </w:trPr>
        <w:tc>
          <w:tcPr>
            <w:tcW w:w="1134" w:type="dxa"/>
            <w:vAlign w:val="center"/>
          </w:tcPr>
          <w:p w:rsidR="005D4A70" w:rsidRDefault="005D4A70" w:rsidP="005D4A70">
            <w:pPr>
              <w:jc w:val="center"/>
            </w:pPr>
            <w:r>
              <w:t>5.</w:t>
            </w:r>
          </w:p>
        </w:tc>
        <w:tc>
          <w:tcPr>
            <w:tcW w:w="3969" w:type="dxa"/>
            <w:vAlign w:val="center"/>
          </w:tcPr>
          <w:p w:rsidR="005D4A70" w:rsidRDefault="005D4A70" w:rsidP="005D4A70">
            <w:pPr>
              <w:jc w:val="center"/>
            </w:pPr>
            <w:r>
              <w:t>Rumunjska</w:t>
            </w:r>
          </w:p>
        </w:tc>
        <w:tc>
          <w:tcPr>
            <w:tcW w:w="2268" w:type="dxa"/>
            <w:vAlign w:val="center"/>
          </w:tcPr>
          <w:p w:rsidR="005D4A70" w:rsidRDefault="005D4A70" w:rsidP="005D4A70">
            <w:pPr>
              <w:jc w:val="center"/>
            </w:pPr>
            <w:r>
              <w:t>866</w:t>
            </w:r>
          </w:p>
        </w:tc>
      </w:tr>
      <w:tr w:rsidR="005D4A70" w:rsidTr="005D4A70">
        <w:trPr>
          <w:trHeight w:val="454"/>
          <w:jc w:val="center"/>
        </w:trPr>
        <w:tc>
          <w:tcPr>
            <w:tcW w:w="1134" w:type="dxa"/>
            <w:vAlign w:val="center"/>
          </w:tcPr>
          <w:p w:rsidR="005D4A70" w:rsidRDefault="005D4A70" w:rsidP="005D4A70">
            <w:pPr>
              <w:jc w:val="center"/>
            </w:pPr>
            <w:r>
              <w:t>6.</w:t>
            </w:r>
          </w:p>
        </w:tc>
        <w:tc>
          <w:tcPr>
            <w:tcW w:w="3969" w:type="dxa"/>
            <w:vAlign w:val="center"/>
          </w:tcPr>
          <w:p w:rsidR="005D4A70" w:rsidRDefault="005D4A70" w:rsidP="005D4A70">
            <w:pPr>
              <w:jc w:val="center"/>
            </w:pPr>
            <w:r>
              <w:t>Tajvan</w:t>
            </w:r>
          </w:p>
        </w:tc>
        <w:tc>
          <w:tcPr>
            <w:tcW w:w="2268" w:type="dxa"/>
            <w:vAlign w:val="center"/>
          </w:tcPr>
          <w:p w:rsidR="005D4A70" w:rsidRDefault="005D4A70" w:rsidP="005D4A70">
            <w:pPr>
              <w:jc w:val="center"/>
            </w:pPr>
            <w:r>
              <w:t>855</w:t>
            </w:r>
          </w:p>
        </w:tc>
      </w:tr>
      <w:tr w:rsidR="005D4A70" w:rsidTr="005D4A70">
        <w:trPr>
          <w:trHeight w:val="454"/>
          <w:jc w:val="center"/>
        </w:trPr>
        <w:tc>
          <w:tcPr>
            <w:tcW w:w="1134" w:type="dxa"/>
            <w:vAlign w:val="center"/>
          </w:tcPr>
          <w:p w:rsidR="005D4A70" w:rsidRDefault="005D4A70" w:rsidP="005D4A70">
            <w:pPr>
              <w:jc w:val="center"/>
            </w:pPr>
            <w:r>
              <w:t>7.</w:t>
            </w:r>
          </w:p>
        </w:tc>
        <w:tc>
          <w:tcPr>
            <w:tcW w:w="3969" w:type="dxa"/>
            <w:vAlign w:val="center"/>
          </w:tcPr>
          <w:p w:rsidR="005D4A70" w:rsidRDefault="005D4A70" w:rsidP="005D4A70">
            <w:pPr>
              <w:jc w:val="center"/>
            </w:pPr>
            <w:r>
              <w:t>Španjolska</w:t>
            </w:r>
          </w:p>
        </w:tc>
        <w:tc>
          <w:tcPr>
            <w:tcW w:w="2268" w:type="dxa"/>
            <w:vAlign w:val="center"/>
          </w:tcPr>
          <w:p w:rsidR="005D4A70" w:rsidRDefault="005D4A70" w:rsidP="005D4A70">
            <w:pPr>
              <w:jc w:val="center"/>
            </w:pPr>
            <w:r>
              <w:t>805</w:t>
            </w:r>
          </w:p>
        </w:tc>
      </w:tr>
      <w:tr w:rsidR="005D4A70" w:rsidTr="005D4A70">
        <w:trPr>
          <w:trHeight w:val="454"/>
          <w:jc w:val="center"/>
        </w:trPr>
        <w:tc>
          <w:tcPr>
            <w:tcW w:w="1134" w:type="dxa"/>
            <w:vAlign w:val="center"/>
          </w:tcPr>
          <w:p w:rsidR="005D4A70" w:rsidRDefault="005D4A70" w:rsidP="005D4A70">
            <w:pPr>
              <w:jc w:val="center"/>
            </w:pPr>
            <w:r>
              <w:t>8.</w:t>
            </w:r>
          </w:p>
        </w:tc>
        <w:tc>
          <w:tcPr>
            <w:tcW w:w="3969" w:type="dxa"/>
            <w:vAlign w:val="center"/>
          </w:tcPr>
          <w:p w:rsidR="005D4A70" w:rsidRDefault="005D4A70" w:rsidP="005D4A70">
            <w:pPr>
              <w:jc w:val="center"/>
            </w:pPr>
            <w:r>
              <w:t>Italija</w:t>
            </w:r>
          </w:p>
        </w:tc>
        <w:tc>
          <w:tcPr>
            <w:tcW w:w="2268" w:type="dxa"/>
            <w:vAlign w:val="center"/>
          </w:tcPr>
          <w:p w:rsidR="005D4A70" w:rsidRDefault="005D4A70" w:rsidP="005D4A70">
            <w:pPr>
              <w:jc w:val="center"/>
            </w:pPr>
            <w:r>
              <w:t>495</w:t>
            </w:r>
          </w:p>
        </w:tc>
      </w:tr>
      <w:tr w:rsidR="005D4A70" w:rsidTr="005D4A70">
        <w:trPr>
          <w:trHeight w:val="454"/>
          <w:jc w:val="center"/>
        </w:trPr>
        <w:tc>
          <w:tcPr>
            <w:tcW w:w="1134" w:type="dxa"/>
            <w:vAlign w:val="center"/>
          </w:tcPr>
          <w:p w:rsidR="005D4A70" w:rsidRDefault="005D4A70" w:rsidP="005D4A70">
            <w:pPr>
              <w:jc w:val="center"/>
            </w:pPr>
            <w:r>
              <w:t>9.</w:t>
            </w:r>
          </w:p>
        </w:tc>
        <w:tc>
          <w:tcPr>
            <w:tcW w:w="3969" w:type="dxa"/>
            <w:vAlign w:val="center"/>
          </w:tcPr>
          <w:p w:rsidR="005D4A70" w:rsidRDefault="005D4A70" w:rsidP="005D4A70">
            <w:pPr>
              <w:jc w:val="center"/>
            </w:pPr>
            <w:r>
              <w:t>Njemačka</w:t>
            </w:r>
          </w:p>
        </w:tc>
        <w:tc>
          <w:tcPr>
            <w:tcW w:w="2268" w:type="dxa"/>
            <w:vAlign w:val="center"/>
          </w:tcPr>
          <w:p w:rsidR="005D4A70" w:rsidRDefault="005D4A70" w:rsidP="005D4A70">
            <w:pPr>
              <w:jc w:val="center"/>
            </w:pPr>
            <w:r>
              <w:t>488</w:t>
            </w:r>
          </w:p>
        </w:tc>
      </w:tr>
      <w:tr w:rsidR="005D4A70" w:rsidTr="005D4A70">
        <w:trPr>
          <w:trHeight w:val="454"/>
          <w:jc w:val="center"/>
        </w:trPr>
        <w:tc>
          <w:tcPr>
            <w:tcW w:w="1134" w:type="dxa"/>
            <w:vAlign w:val="center"/>
          </w:tcPr>
          <w:p w:rsidR="005D4A70" w:rsidRDefault="005D4A70" w:rsidP="005D4A70">
            <w:pPr>
              <w:jc w:val="center"/>
            </w:pPr>
            <w:r>
              <w:t>10.</w:t>
            </w:r>
          </w:p>
        </w:tc>
        <w:tc>
          <w:tcPr>
            <w:tcW w:w="3969" w:type="dxa"/>
            <w:vAlign w:val="center"/>
          </w:tcPr>
          <w:p w:rsidR="005D4A70" w:rsidRDefault="005D4A70" w:rsidP="005D4A70">
            <w:pPr>
              <w:jc w:val="center"/>
            </w:pPr>
            <w:r>
              <w:t>SAD</w:t>
            </w:r>
          </w:p>
        </w:tc>
        <w:tc>
          <w:tcPr>
            <w:tcW w:w="2268" w:type="dxa"/>
            <w:vAlign w:val="center"/>
          </w:tcPr>
          <w:p w:rsidR="005D4A70" w:rsidRDefault="005D4A70" w:rsidP="005D4A70">
            <w:pPr>
              <w:jc w:val="center"/>
            </w:pPr>
            <w:r>
              <w:t>415</w:t>
            </w:r>
          </w:p>
        </w:tc>
      </w:tr>
    </w:tbl>
    <w:p w:rsidR="00ED415F" w:rsidRDefault="00ED415F" w:rsidP="007D03F0">
      <w:pPr>
        <w:spacing w:line="360" w:lineRule="auto"/>
        <w:jc w:val="both"/>
      </w:pPr>
    </w:p>
    <w:p w:rsidR="006F4A0D" w:rsidRPr="007D03F0" w:rsidRDefault="00ED415F" w:rsidP="007D03F0">
      <w:pPr>
        <w:spacing w:line="360" w:lineRule="auto"/>
        <w:jc w:val="both"/>
      </w:pPr>
      <w:r>
        <w:t>Hrvatskoj je dodijeljeno 58 certifikata.</w:t>
      </w:r>
    </w:p>
    <w:p w:rsidR="000345B0" w:rsidRDefault="000345B0"/>
    <w:p w:rsidR="00ED415F" w:rsidRDefault="00ED415F"/>
    <w:p w:rsidR="00ED415F" w:rsidRDefault="00ED415F"/>
    <w:p w:rsidR="00ED415F" w:rsidRDefault="00ED415F" w:rsidP="00ED415F">
      <w:pPr>
        <w:pStyle w:val="Heading1"/>
        <w:spacing w:line="480" w:lineRule="auto"/>
      </w:pPr>
      <w:bookmarkStart w:id="28" w:name="_Toc377039896"/>
      <w:r>
        <w:lastRenderedPageBreak/>
        <w:t>11.ISO 27000 zaključak</w:t>
      </w:r>
      <w:bookmarkEnd w:id="28"/>
    </w:p>
    <w:p w:rsidR="00760944" w:rsidRPr="00760944" w:rsidRDefault="00760944" w:rsidP="00760944">
      <w:pPr>
        <w:spacing w:line="360" w:lineRule="auto"/>
        <w:jc w:val="both"/>
      </w:pPr>
      <w:r>
        <w:t>Ukratko, za kraj, n</w:t>
      </w:r>
      <w:r w:rsidRPr="00760944">
        <w:t>orme iz serije ISO 27000 izrađene su tako da svaka od normi daje naglasak na nešto.</w:t>
      </w:r>
      <w:r>
        <w:t xml:space="preserve"> U daljnjem tekstu nabrojane su norme od ISO 27001 do ISO 27006 i u jednoj rečenici objašnjen je naglasak pojedine norme:</w:t>
      </w:r>
    </w:p>
    <w:p w:rsidR="00760944" w:rsidRPr="00760944" w:rsidRDefault="00760944" w:rsidP="00760944">
      <w:pPr>
        <w:pStyle w:val="ListParagraph"/>
        <w:numPr>
          <w:ilvl w:val="0"/>
          <w:numId w:val="11"/>
        </w:numPr>
        <w:spacing w:line="360" w:lineRule="auto"/>
        <w:jc w:val="both"/>
      </w:pPr>
      <w:r w:rsidRPr="00760944">
        <w:rPr>
          <w:b/>
        </w:rPr>
        <w:t>ISO 27001</w:t>
      </w:r>
      <w:r w:rsidRPr="00760944">
        <w:t xml:space="preserve"> služi za postavljanje temelja informacijske sigurnosti i određivanje njezinih okvira.</w:t>
      </w:r>
    </w:p>
    <w:p w:rsidR="00760944" w:rsidRPr="00760944" w:rsidRDefault="00760944" w:rsidP="00760944">
      <w:pPr>
        <w:pStyle w:val="ListParagraph"/>
        <w:numPr>
          <w:ilvl w:val="0"/>
          <w:numId w:val="11"/>
        </w:numPr>
        <w:spacing w:line="360" w:lineRule="auto"/>
        <w:jc w:val="both"/>
      </w:pPr>
      <w:r w:rsidRPr="00760944">
        <w:rPr>
          <w:b/>
        </w:rPr>
        <w:t>ISO 27002</w:t>
      </w:r>
      <w:r w:rsidRPr="00760944">
        <w:t xml:space="preserve"> služi za implementaciju sigurnosnih mjera.</w:t>
      </w:r>
    </w:p>
    <w:p w:rsidR="00760944" w:rsidRPr="00760944" w:rsidRDefault="00760944" w:rsidP="00760944">
      <w:pPr>
        <w:pStyle w:val="ListParagraph"/>
        <w:numPr>
          <w:ilvl w:val="0"/>
          <w:numId w:val="11"/>
        </w:numPr>
        <w:spacing w:line="360" w:lineRule="auto"/>
        <w:jc w:val="both"/>
      </w:pPr>
      <w:r w:rsidRPr="00760944">
        <w:rPr>
          <w:b/>
        </w:rPr>
        <w:t>ISO 27003</w:t>
      </w:r>
      <w:r w:rsidRPr="00760944">
        <w:t xml:space="preserve"> pruža upute za implementaciju kao pomoć osobama koje implementiraju ISO 27000 standarde. U osnovi se bazira na smjernicama iz ISO 27001 standarda, te pruža vodstvo sve do pokretanja ISMS projekta.</w:t>
      </w:r>
    </w:p>
    <w:p w:rsidR="00760944" w:rsidRPr="00760944" w:rsidRDefault="00760944" w:rsidP="00760944">
      <w:pPr>
        <w:pStyle w:val="ListParagraph"/>
        <w:numPr>
          <w:ilvl w:val="0"/>
          <w:numId w:val="11"/>
        </w:numPr>
        <w:spacing w:line="360" w:lineRule="auto"/>
        <w:jc w:val="both"/>
      </w:pPr>
      <w:r w:rsidRPr="00760944">
        <w:rPr>
          <w:b/>
        </w:rPr>
        <w:t>ISO 27004</w:t>
      </w:r>
      <w:r w:rsidRPr="00760944">
        <w:t xml:space="preserve"> služi da pomogne organizacijama mjeriti, izvještavati i na temelju istoga sistematski poboljšavati kvalitetu ISMS.</w:t>
      </w:r>
    </w:p>
    <w:p w:rsidR="00760944" w:rsidRPr="00760944" w:rsidRDefault="00760944" w:rsidP="00760944">
      <w:pPr>
        <w:pStyle w:val="ListParagraph"/>
        <w:numPr>
          <w:ilvl w:val="0"/>
          <w:numId w:val="11"/>
        </w:numPr>
        <w:spacing w:line="360" w:lineRule="auto"/>
        <w:jc w:val="both"/>
      </w:pPr>
      <w:r w:rsidRPr="00760944">
        <w:rPr>
          <w:b/>
        </w:rPr>
        <w:t>ISO 27005</w:t>
      </w:r>
      <w:r w:rsidRPr="00760944">
        <w:t xml:space="preserve"> služi za provedbu procjene rizika.</w:t>
      </w:r>
    </w:p>
    <w:p w:rsidR="00ED415F" w:rsidRPr="00760944" w:rsidRDefault="00760944" w:rsidP="00760944">
      <w:pPr>
        <w:pStyle w:val="ListParagraph"/>
        <w:numPr>
          <w:ilvl w:val="0"/>
          <w:numId w:val="11"/>
        </w:numPr>
        <w:spacing w:line="360" w:lineRule="auto"/>
        <w:jc w:val="both"/>
      </w:pPr>
      <w:r>
        <w:rPr>
          <w:b/>
        </w:rPr>
        <w:t xml:space="preserve">ISO </w:t>
      </w:r>
      <w:r w:rsidRPr="00760944">
        <w:rPr>
          <w:b/>
        </w:rPr>
        <w:t>27006</w:t>
      </w:r>
      <w:r w:rsidRPr="00760944">
        <w:t xml:space="preserve"> je akreditacijski standard koji vodi certificiranje kroz formalni proces certifikacije ISMS organizacija prema ISO 27001 standardu. U istome su navedene sve potrebe i upute kako izvesti certifikaciju i koje uvjete organizacija mora zadovoljiti.</w:t>
      </w:r>
    </w:p>
    <w:p w:rsidR="00C839C0" w:rsidRDefault="00C839C0">
      <w:pPr>
        <w:rPr>
          <w:rFonts w:asciiTheme="majorHAnsi" w:eastAsiaTheme="majorEastAsia" w:hAnsiTheme="majorHAnsi" w:cstheme="majorBidi"/>
          <w:b/>
          <w:bCs/>
          <w:color w:val="365F91" w:themeColor="accent1" w:themeShade="BF"/>
          <w:sz w:val="28"/>
          <w:szCs w:val="28"/>
        </w:rPr>
      </w:pPr>
      <w:r>
        <w:br w:type="page"/>
      </w:r>
    </w:p>
    <w:p w:rsidR="00760944" w:rsidRDefault="00E96753" w:rsidP="00E96753">
      <w:pPr>
        <w:pStyle w:val="Heading1"/>
        <w:spacing w:line="480" w:lineRule="auto"/>
      </w:pPr>
      <w:bookmarkStart w:id="29" w:name="_Toc377039897"/>
      <w:r>
        <w:lastRenderedPageBreak/>
        <w:t>Literatura</w:t>
      </w:r>
      <w:bookmarkEnd w:id="29"/>
    </w:p>
    <w:p w:rsidR="00E96753" w:rsidRDefault="00D35889" w:rsidP="00D35889">
      <w:pPr>
        <w:pStyle w:val="ListParagraph"/>
        <w:numPr>
          <w:ilvl w:val="0"/>
          <w:numId w:val="12"/>
        </w:numPr>
        <w:spacing w:line="360" w:lineRule="auto"/>
      </w:pPr>
      <w:r w:rsidRPr="00D35889">
        <w:t xml:space="preserve">Zavod za ispitivanje kvalitete d.o.o. (2007). </w:t>
      </w:r>
      <w:r w:rsidRPr="00687BBF">
        <w:rPr>
          <w:i/>
        </w:rPr>
        <w:t>BS ISO/IEC 27001:2005</w:t>
      </w:r>
      <w:r>
        <w:t>. Zagreb, Denona d.o.o.</w:t>
      </w:r>
    </w:p>
    <w:p w:rsidR="00C70A2B" w:rsidRDefault="00C70A2B" w:rsidP="00C70A2B">
      <w:pPr>
        <w:pStyle w:val="ListParagraph"/>
        <w:numPr>
          <w:ilvl w:val="0"/>
          <w:numId w:val="12"/>
        </w:numPr>
        <w:spacing w:line="360" w:lineRule="auto"/>
      </w:pPr>
      <w:r w:rsidRPr="00C70A2B">
        <w:t xml:space="preserve">Knez J. (2006). Sigurnost informacija po normi ISO/IEC 27001 u postojećim sustavima upravljanja. Dostupno 30.12.2013. na </w:t>
      </w:r>
      <w:hyperlink r:id="rId15" w:history="1">
        <w:r w:rsidRPr="00B721D3">
          <w:rPr>
            <w:rStyle w:val="Hyperlink"/>
          </w:rPr>
          <w:t>http://www.kvaliteta.net/informacije/radovi/Knez_J_rad.pdf</w:t>
        </w:r>
      </w:hyperlink>
      <w:r>
        <w:t xml:space="preserve"> </w:t>
      </w:r>
    </w:p>
    <w:p w:rsidR="00687BBF" w:rsidRPr="00687BBF" w:rsidRDefault="00687BBF" w:rsidP="00687BBF">
      <w:pPr>
        <w:pStyle w:val="ListParagraph"/>
        <w:numPr>
          <w:ilvl w:val="0"/>
          <w:numId w:val="12"/>
        </w:numPr>
        <w:spacing w:line="360" w:lineRule="auto"/>
      </w:pPr>
      <w:r w:rsidRPr="00687BBF">
        <w:t xml:space="preserve">CRN.com.au (2013). </w:t>
      </w:r>
      <w:r w:rsidRPr="00687BBF">
        <w:rPr>
          <w:i/>
        </w:rPr>
        <w:t>Koraci zašto je dobar ISO 27001</w:t>
      </w:r>
      <w:r w:rsidRPr="00687BBF">
        <w:t xml:space="preserve">. Dostupno 30.12.2013. na </w:t>
      </w:r>
      <w:hyperlink r:id="rId16" w:history="1">
        <w:r w:rsidRPr="00F616B3">
          <w:rPr>
            <w:rStyle w:val="Hyperlink"/>
          </w:rPr>
          <w:t>http://www.crn.com.au/News/152262,10-reasons-why-iso-27001-makes-a-better-is-security-professional.aspx</w:t>
        </w:r>
      </w:hyperlink>
      <w:r>
        <w:t xml:space="preserve"> </w:t>
      </w:r>
    </w:p>
    <w:p w:rsidR="00D35889" w:rsidRPr="00D35889" w:rsidRDefault="00687BBF" w:rsidP="00687BBF">
      <w:pPr>
        <w:pStyle w:val="ListParagraph"/>
        <w:numPr>
          <w:ilvl w:val="0"/>
          <w:numId w:val="12"/>
        </w:numPr>
        <w:spacing w:line="360" w:lineRule="auto"/>
      </w:pPr>
      <w:r w:rsidRPr="00687BBF">
        <w:t xml:space="preserve">ISO (2012). </w:t>
      </w:r>
      <w:r w:rsidRPr="00687BBF">
        <w:rPr>
          <w:i/>
        </w:rPr>
        <w:t>Svjetska distribucija ISO / IEC 27001 certifikata u 2012</w:t>
      </w:r>
      <w:r w:rsidRPr="00687BBF">
        <w:t xml:space="preserve">. Dostupno 30.12.2013. na </w:t>
      </w:r>
      <w:hyperlink r:id="rId17" w:anchor="standardpick" w:history="1">
        <w:r w:rsidRPr="00F616B3">
          <w:rPr>
            <w:rStyle w:val="Hyperlink"/>
          </w:rPr>
          <w:t>http://www.iso.org/iso/home/standards/certification/iso-survey.htm?certificate=ISO/IEC%2027001&amp;countrycode=AF#standardpick</w:t>
        </w:r>
      </w:hyperlink>
      <w:r>
        <w:t xml:space="preserve"> </w:t>
      </w:r>
    </w:p>
    <w:sectPr w:rsidR="00D35889" w:rsidRPr="00D35889" w:rsidSect="00F55F0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B2F" w:rsidRDefault="004D1B2F" w:rsidP="009B6DDE">
      <w:r>
        <w:separator/>
      </w:r>
    </w:p>
  </w:endnote>
  <w:endnote w:type="continuationSeparator" w:id="0">
    <w:p w:rsidR="004D1B2F" w:rsidRDefault="004D1B2F" w:rsidP="009B6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206785"/>
      <w:docPartObj>
        <w:docPartGallery w:val="Page Numbers (Bottom of Page)"/>
        <w:docPartUnique/>
      </w:docPartObj>
    </w:sdtPr>
    <w:sdtEndPr>
      <w:rPr>
        <w:noProof/>
      </w:rPr>
    </w:sdtEndPr>
    <w:sdtContent>
      <w:p w:rsidR="00F55F07" w:rsidRDefault="00F55F07">
        <w:pPr>
          <w:pStyle w:val="Footer"/>
          <w:jc w:val="center"/>
        </w:pPr>
        <w:r>
          <w:fldChar w:fldCharType="begin"/>
        </w:r>
        <w:r>
          <w:instrText xml:space="preserve"> PAGE   \* MERGEFORMAT </w:instrText>
        </w:r>
        <w:r>
          <w:fldChar w:fldCharType="separate"/>
        </w:r>
        <w:r w:rsidR="007212C9">
          <w:rPr>
            <w:noProof/>
          </w:rPr>
          <w:t>I</w:t>
        </w:r>
        <w:r>
          <w:rPr>
            <w:noProof/>
          </w:rPr>
          <w:fldChar w:fldCharType="end"/>
        </w:r>
      </w:p>
    </w:sdtContent>
  </w:sdt>
  <w:p w:rsidR="00F55F07" w:rsidRDefault="00F55F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B2F" w:rsidRDefault="004D1B2F" w:rsidP="009B6DDE">
      <w:r>
        <w:separator/>
      </w:r>
    </w:p>
  </w:footnote>
  <w:footnote w:type="continuationSeparator" w:id="0">
    <w:p w:rsidR="004D1B2F" w:rsidRDefault="004D1B2F" w:rsidP="009B6D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3A35"/>
    <w:multiLevelType w:val="hybridMultilevel"/>
    <w:tmpl w:val="4AC6190E"/>
    <w:lvl w:ilvl="0" w:tplc="041A0001">
      <w:start w:val="1"/>
      <w:numFmt w:val="bullet"/>
      <w:lvlText w:val=""/>
      <w:lvlJc w:val="left"/>
      <w:pPr>
        <w:ind w:left="720" w:hanging="360"/>
      </w:pPr>
      <w:rPr>
        <w:rFonts w:ascii="Symbol" w:hAnsi="Symbol" w:hint="default"/>
      </w:rPr>
    </w:lvl>
    <w:lvl w:ilvl="1" w:tplc="041A000B">
      <w:start w:val="1"/>
      <w:numFmt w:val="bullet"/>
      <w:lvlText w:val=""/>
      <w:lvlJc w:val="left"/>
      <w:pPr>
        <w:ind w:left="1440" w:hanging="360"/>
      </w:pPr>
      <w:rPr>
        <w:rFonts w:ascii="Wingdings" w:hAnsi="Wingdings"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EC07FE1"/>
    <w:multiLevelType w:val="hybridMultilevel"/>
    <w:tmpl w:val="210089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6156330"/>
    <w:multiLevelType w:val="hybridMultilevel"/>
    <w:tmpl w:val="210089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9D93FA7"/>
    <w:multiLevelType w:val="hybridMultilevel"/>
    <w:tmpl w:val="51546D8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DC95DF4"/>
    <w:multiLevelType w:val="hybridMultilevel"/>
    <w:tmpl w:val="5DDE7778"/>
    <w:lvl w:ilvl="0" w:tplc="041A000F">
      <w:start w:val="1"/>
      <w:numFmt w:val="decimal"/>
      <w:lvlText w:val="%1."/>
      <w:lvlJc w:val="left"/>
      <w:pPr>
        <w:ind w:left="720" w:hanging="360"/>
      </w:pPr>
    </w:lvl>
    <w:lvl w:ilvl="1" w:tplc="041A0017">
      <w:start w:val="1"/>
      <w:numFmt w:val="lowerLetter"/>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1E4D2065"/>
    <w:multiLevelType w:val="hybridMultilevel"/>
    <w:tmpl w:val="142427E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6">
    <w:nsid w:val="21D52FB1"/>
    <w:multiLevelType w:val="hybridMultilevel"/>
    <w:tmpl w:val="CCB270BA"/>
    <w:lvl w:ilvl="0" w:tplc="041A0017">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7">
    <w:nsid w:val="351F15A5"/>
    <w:multiLevelType w:val="hybridMultilevel"/>
    <w:tmpl w:val="17240FF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8">
    <w:nsid w:val="514A4BCD"/>
    <w:multiLevelType w:val="hybridMultilevel"/>
    <w:tmpl w:val="7714A8C6"/>
    <w:lvl w:ilvl="0" w:tplc="041A0017">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9">
    <w:nsid w:val="6BBB27B1"/>
    <w:multiLevelType w:val="hybridMultilevel"/>
    <w:tmpl w:val="D4F8D86A"/>
    <w:lvl w:ilvl="0" w:tplc="041A0017">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0">
    <w:nsid w:val="76346F97"/>
    <w:multiLevelType w:val="hybridMultilevel"/>
    <w:tmpl w:val="97F035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7D0204C1"/>
    <w:multiLevelType w:val="hybridMultilevel"/>
    <w:tmpl w:val="5DDE7778"/>
    <w:lvl w:ilvl="0" w:tplc="041A000F">
      <w:start w:val="1"/>
      <w:numFmt w:val="decimal"/>
      <w:lvlText w:val="%1."/>
      <w:lvlJc w:val="left"/>
      <w:pPr>
        <w:ind w:left="720" w:hanging="360"/>
      </w:pPr>
    </w:lvl>
    <w:lvl w:ilvl="1" w:tplc="041A0017">
      <w:start w:val="1"/>
      <w:numFmt w:val="lowerLetter"/>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6"/>
  </w:num>
  <w:num w:numId="5">
    <w:abstractNumId w:val="11"/>
  </w:num>
  <w:num w:numId="6">
    <w:abstractNumId w:val="2"/>
  </w:num>
  <w:num w:numId="7">
    <w:abstractNumId w:val="5"/>
  </w:num>
  <w:num w:numId="8">
    <w:abstractNumId w:val="7"/>
  </w:num>
  <w:num w:numId="9">
    <w:abstractNumId w:val="0"/>
  </w:num>
  <w:num w:numId="10">
    <w:abstractNumId w:val="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DE"/>
    <w:rsid w:val="000046C4"/>
    <w:rsid w:val="0001739E"/>
    <w:rsid w:val="00023E81"/>
    <w:rsid w:val="000345B0"/>
    <w:rsid w:val="0004519B"/>
    <w:rsid w:val="00056BF1"/>
    <w:rsid w:val="000A2E52"/>
    <w:rsid w:val="000B01D3"/>
    <w:rsid w:val="000D05C2"/>
    <w:rsid w:val="000F3302"/>
    <w:rsid w:val="00100AE1"/>
    <w:rsid w:val="001154BF"/>
    <w:rsid w:val="00134BCA"/>
    <w:rsid w:val="001564C7"/>
    <w:rsid w:val="00160A3A"/>
    <w:rsid w:val="001B0F12"/>
    <w:rsid w:val="00202A40"/>
    <w:rsid w:val="0021630E"/>
    <w:rsid w:val="0021721F"/>
    <w:rsid w:val="00224B6F"/>
    <w:rsid w:val="0023631A"/>
    <w:rsid w:val="0025048B"/>
    <w:rsid w:val="00253F25"/>
    <w:rsid w:val="002A0F6A"/>
    <w:rsid w:val="002D2918"/>
    <w:rsid w:val="00307E64"/>
    <w:rsid w:val="00350F6E"/>
    <w:rsid w:val="0035675D"/>
    <w:rsid w:val="003745B2"/>
    <w:rsid w:val="003A26A4"/>
    <w:rsid w:val="003E3229"/>
    <w:rsid w:val="00404947"/>
    <w:rsid w:val="00407335"/>
    <w:rsid w:val="004269E5"/>
    <w:rsid w:val="00437027"/>
    <w:rsid w:val="00477848"/>
    <w:rsid w:val="004835E3"/>
    <w:rsid w:val="00497D5A"/>
    <w:rsid w:val="004A2275"/>
    <w:rsid w:val="004C39CB"/>
    <w:rsid w:val="004D1B2F"/>
    <w:rsid w:val="00553B89"/>
    <w:rsid w:val="005802CC"/>
    <w:rsid w:val="00585986"/>
    <w:rsid w:val="005B7D7B"/>
    <w:rsid w:val="005C58D0"/>
    <w:rsid w:val="005D4A70"/>
    <w:rsid w:val="005E4BAA"/>
    <w:rsid w:val="006522F1"/>
    <w:rsid w:val="00687BBF"/>
    <w:rsid w:val="00690F18"/>
    <w:rsid w:val="006B1442"/>
    <w:rsid w:val="006E1412"/>
    <w:rsid w:val="006F1E10"/>
    <w:rsid w:val="006F4A0D"/>
    <w:rsid w:val="007212C9"/>
    <w:rsid w:val="007505D1"/>
    <w:rsid w:val="00760944"/>
    <w:rsid w:val="007767C5"/>
    <w:rsid w:val="00786795"/>
    <w:rsid w:val="007A3F23"/>
    <w:rsid w:val="007D03F0"/>
    <w:rsid w:val="00811DA1"/>
    <w:rsid w:val="0084529E"/>
    <w:rsid w:val="008644AE"/>
    <w:rsid w:val="00915523"/>
    <w:rsid w:val="009536BA"/>
    <w:rsid w:val="00964804"/>
    <w:rsid w:val="009739B9"/>
    <w:rsid w:val="00986833"/>
    <w:rsid w:val="009A2E47"/>
    <w:rsid w:val="009B6DDE"/>
    <w:rsid w:val="009D7800"/>
    <w:rsid w:val="00A11C14"/>
    <w:rsid w:val="00A3328E"/>
    <w:rsid w:val="00A71F39"/>
    <w:rsid w:val="00A818F2"/>
    <w:rsid w:val="00AC2693"/>
    <w:rsid w:val="00AD1869"/>
    <w:rsid w:val="00AD25E1"/>
    <w:rsid w:val="00AE2069"/>
    <w:rsid w:val="00B12835"/>
    <w:rsid w:val="00B421EE"/>
    <w:rsid w:val="00BA7E75"/>
    <w:rsid w:val="00BB6910"/>
    <w:rsid w:val="00BC018D"/>
    <w:rsid w:val="00BE2289"/>
    <w:rsid w:val="00C25CA6"/>
    <w:rsid w:val="00C32B43"/>
    <w:rsid w:val="00C40E1F"/>
    <w:rsid w:val="00C70A2B"/>
    <w:rsid w:val="00C73319"/>
    <w:rsid w:val="00C839C0"/>
    <w:rsid w:val="00C857EB"/>
    <w:rsid w:val="00C878CF"/>
    <w:rsid w:val="00C905CC"/>
    <w:rsid w:val="00CA5031"/>
    <w:rsid w:val="00CB3605"/>
    <w:rsid w:val="00CE0D72"/>
    <w:rsid w:val="00CE67BB"/>
    <w:rsid w:val="00D041E3"/>
    <w:rsid w:val="00D13151"/>
    <w:rsid w:val="00D253D0"/>
    <w:rsid w:val="00D35889"/>
    <w:rsid w:val="00D36026"/>
    <w:rsid w:val="00D43CEC"/>
    <w:rsid w:val="00D626DF"/>
    <w:rsid w:val="00D66A75"/>
    <w:rsid w:val="00D6781F"/>
    <w:rsid w:val="00DC568D"/>
    <w:rsid w:val="00DC6BA7"/>
    <w:rsid w:val="00DF0417"/>
    <w:rsid w:val="00DF1AAE"/>
    <w:rsid w:val="00E26995"/>
    <w:rsid w:val="00E31304"/>
    <w:rsid w:val="00E317CD"/>
    <w:rsid w:val="00E447AE"/>
    <w:rsid w:val="00E62446"/>
    <w:rsid w:val="00E625D7"/>
    <w:rsid w:val="00E91F9A"/>
    <w:rsid w:val="00E96753"/>
    <w:rsid w:val="00EA5DB8"/>
    <w:rsid w:val="00ED415F"/>
    <w:rsid w:val="00EF51E1"/>
    <w:rsid w:val="00F14A42"/>
    <w:rsid w:val="00F465DC"/>
    <w:rsid w:val="00F478F2"/>
    <w:rsid w:val="00F529AA"/>
    <w:rsid w:val="00F55F07"/>
    <w:rsid w:val="00F6789B"/>
    <w:rsid w:val="00FB7D01"/>
    <w:rsid w:val="00FC24C8"/>
    <w:rsid w:val="00FD660C"/>
    <w:rsid w:val="00FF045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C9"/>
  </w:style>
  <w:style w:type="paragraph" w:styleId="Heading1">
    <w:name w:val="heading 1"/>
    <w:aliases w:val="Naslov 1. razine"/>
    <w:basedOn w:val="Normal"/>
    <w:next w:val="Normal"/>
    <w:link w:val="Heading1Char"/>
    <w:uiPriority w:val="9"/>
    <w:qFormat/>
    <w:rsid w:val="007212C9"/>
    <w:pPr>
      <w:keepNext/>
      <w:keepLines/>
      <w:spacing w:after="240"/>
      <w:jc w:val="center"/>
      <w:outlineLvl w:val="0"/>
    </w:pPr>
    <w:rPr>
      <w:rFonts w:ascii="Arial" w:eastAsiaTheme="majorEastAsia" w:hAnsi="Arial" w:cstheme="majorBidi"/>
      <w:b/>
      <w:bCs/>
      <w:color w:val="000000" w:themeColor="text1"/>
      <w:sz w:val="32"/>
      <w:szCs w:val="28"/>
      <w:lang w:eastAsia="hr-HR"/>
    </w:rPr>
  </w:style>
  <w:style w:type="paragraph" w:styleId="Heading2">
    <w:name w:val="heading 2"/>
    <w:aliases w:val="Naslov 2. razine"/>
    <w:basedOn w:val="Normal"/>
    <w:next w:val="Normal"/>
    <w:link w:val="Heading2Char"/>
    <w:uiPriority w:val="9"/>
    <w:unhideWhenUsed/>
    <w:qFormat/>
    <w:rsid w:val="007212C9"/>
    <w:pPr>
      <w:keepNext/>
      <w:keepLines/>
      <w:spacing w:before="360" w:after="240"/>
      <w:outlineLvl w:val="1"/>
    </w:pPr>
    <w:rPr>
      <w:rFonts w:ascii="Arial" w:eastAsiaTheme="majorEastAsia" w:hAnsi="Arial" w:cstheme="majorBidi"/>
      <w:b/>
      <w:bCs/>
      <w:color w:val="000000" w:themeColor="text1"/>
      <w:sz w:val="28"/>
      <w:szCs w:val="26"/>
      <w:lang w:eastAsia="hr-HR"/>
    </w:rPr>
  </w:style>
  <w:style w:type="paragraph" w:styleId="Heading3">
    <w:name w:val="heading 3"/>
    <w:aliases w:val="Naslov 3. razine"/>
    <w:basedOn w:val="Normal"/>
    <w:next w:val="Normal"/>
    <w:link w:val="Heading3Char"/>
    <w:uiPriority w:val="9"/>
    <w:unhideWhenUsed/>
    <w:qFormat/>
    <w:rsid w:val="007212C9"/>
    <w:pPr>
      <w:keepNext/>
      <w:keepLines/>
      <w:spacing w:before="360" w:after="240"/>
      <w:outlineLvl w:val="2"/>
    </w:pPr>
    <w:rPr>
      <w:rFonts w:ascii="Arial" w:eastAsiaTheme="majorEastAsia" w:hAnsi="Arial" w:cstheme="majorBidi"/>
      <w:bCs/>
      <w:color w:val="000000" w:themeColor="text1"/>
      <w:lang w:eastAsia="hr-HR"/>
    </w:rPr>
  </w:style>
  <w:style w:type="paragraph" w:styleId="Heading4">
    <w:name w:val="heading 4"/>
    <w:aliases w:val="Naslov 4. razine"/>
    <w:basedOn w:val="Normal"/>
    <w:next w:val="Normal"/>
    <w:link w:val="Heading4Char"/>
    <w:uiPriority w:val="9"/>
    <w:unhideWhenUsed/>
    <w:qFormat/>
    <w:rsid w:val="007212C9"/>
    <w:pPr>
      <w:keepNext/>
      <w:keepLines/>
      <w:spacing w:before="360" w:after="240"/>
      <w:outlineLvl w:val="3"/>
    </w:pPr>
    <w:rPr>
      <w:rFonts w:ascii="Arial" w:eastAsiaTheme="majorEastAsia" w:hAnsi="Arial" w:cstheme="majorBidi"/>
      <w:b/>
      <w:bCs/>
      <w:i/>
      <w:iCs/>
      <w:color w:val="000000" w:themeColor="text1"/>
    </w:rPr>
  </w:style>
  <w:style w:type="paragraph" w:styleId="Heading5">
    <w:name w:val="heading 5"/>
    <w:basedOn w:val="Normal"/>
    <w:next w:val="Normal"/>
    <w:link w:val="Heading5Char"/>
    <w:uiPriority w:val="9"/>
    <w:semiHidden/>
    <w:unhideWhenUsed/>
    <w:qFormat/>
    <w:rsid w:val="00FB7D0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7D0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7D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7D0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7D0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slov 1. razine Char"/>
    <w:basedOn w:val="DefaultParagraphFont"/>
    <w:link w:val="Heading1"/>
    <w:uiPriority w:val="9"/>
    <w:rsid w:val="007212C9"/>
    <w:rPr>
      <w:rFonts w:ascii="Arial" w:eastAsiaTheme="majorEastAsia" w:hAnsi="Arial" w:cstheme="majorBidi"/>
      <w:b/>
      <w:bCs/>
      <w:color w:val="000000" w:themeColor="text1"/>
      <w:sz w:val="32"/>
      <w:szCs w:val="28"/>
      <w:lang w:eastAsia="hr-HR"/>
    </w:rPr>
  </w:style>
  <w:style w:type="character" w:customStyle="1" w:styleId="Heading2Char">
    <w:name w:val="Heading 2 Char"/>
    <w:aliases w:val="Naslov 2. razine Char"/>
    <w:basedOn w:val="DefaultParagraphFont"/>
    <w:link w:val="Heading2"/>
    <w:uiPriority w:val="9"/>
    <w:rsid w:val="007212C9"/>
    <w:rPr>
      <w:rFonts w:ascii="Arial" w:eastAsiaTheme="majorEastAsia" w:hAnsi="Arial" w:cstheme="majorBidi"/>
      <w:b/>
      <w:bCs/>
      <w:color w:val="000000" w:themeColor="text1"/>
      <w:sz w:val="28"/>
      <w:szCs w:val="26"/>
      <w:lang w:eastAsia="hr-HR"/>
    </w:rPr>
  </w:style>
  <w:style w:type="character" w:customStyle="1" w:styleId="Heading3Char">
    <w:name w:val="Heading 3 Char"/>
    <w:aliases w:val="Naslov 3. razine Char"/>
    <w:basedOn w:val="DefaultParagraphFont"/>
    <w:link w:val="Heading3"/>
    <w:uiPriority w:val="9"/>
    <w:rsid w:val="007212C9"/>
    <w:rPr>
      <w:rFonts w:ascii="Arial" w:eastAsiaTheme="majorEastAsia" w:hAnsi="Arial" w:cstheme="majorBidi"/>
      <w:bCs/>
      <w:color w:val="000000" w:themeColor="text1"/>
      <w:lang w:eastAsia="hr-HR"/>
    </w:rPr>
  </w:style>
  <w:style w:type="character" w:customStyle="1" w:styleId="Heading4Char">
    <w:name w:val="Heading 4 Char"/>
    <w:aliases w:val="Naslov 4. razine Char"/>
    <w:basedOn w:val="DefaultParagraphFont"/>
    <w:link w:val="Heading4"/>
    <w:uiPriority w:val="9"/>
    <w:rsid w:val="007212C9"/>
    <w:rPr>
      <w:rFonts w:ascii="Arial" w:eastAsiaTheme="majorEastAsia" w:hAnsi="Arial" w:cstheme="majorBidi"/>
      <w:b/>
      <w:bCs/>
      <w:i/>
      <w:iCs/>
      <w:color w:val="000000" w:themeColor="text1"/>
    </w:rPr>
  </w:style>
  <w:style w:type="paragraph" w:styleId="Caption">
    <w:name w:val="caption"/>
    <w:basedOn w:val="Normal"/>
    <w:next w:val="Normal"/>
    <w:uiPriority w:val="35"/>
    <w:unhideWhenUsed/>
    <w:qFormat/>
    <w:rsid w:val="007212C9"/>
    <w:pPr>
      <w:spacing w:after="200"/>
    </w:pPr>
    <w:rPr>
      <w:b/>
      <w:bCs/>
      <w:color w:val="4F81BD" w:themeColor="accent1"/>
      <w:sz w:val="18"/>
      <w:szCs w:val="18"/>
    </w:rPr>
  </w:style>
  <w:style w:type="paragraph" w:styleId="NoSpacing">
    <w:name w:val="No Spacing"/>
    <w:uiPriority w:val="1"/>
    <w:qFormat/>
    <w:rsid w:val="007212C9"/>
  </w:style>
  <w:style w:type="paragraph" w:styleId="ListParagraph">
    <w:name w:val="List Paragraph"/>
    <w:basedOn w:val="Normal"/>
    <w:uiPriority w:val="34"/>
    <w:qFormat/>
    <w:rsid w:val="007212C9"/>
    <w:pPr>
      <w:ind w:left="720"/>
      <w:contextualSpacing/>
    </w:pPr>
  </w:style>
  <w:style w:type="paragraph" w:styleId="TOCHeading">
    <w:name w:val="TOC Heading"/>
    <w:basedOn w:val="Heading1"/>
    <w:next w:val="Normal"/>
    <w:uiPriority w:val="39"/>
    <w:semiHidden/>
    <w:unhideWhenUsed/>
    <w:qFormat/>
    <w:rsid w:val="007212C9"/>
    <w:pPr>
      <w:spacing w:before="480" w:after="0" w:line="276" w:lineRule="auto"/>
      <w:jc w:val="left"/>
      <w:outlineLvl w:val="9"/>
    </w:pPr>
    <w:rPr>
      <w:rFonts w:asciiTheme="majorHAnsi" w:hAnsiTheme="majorHAnsi"/>
      <w:color w:val="365F91" w:themeColor="accent1" w:themeShade="BF"/>
      <w:sz w:val="28"/>
      <w:lang w:val="en-US" w:eastAsia="en-US"/>
    </w:rPr>
  </w:style>
  <w:style w:type="character" w:customStyle="1" w:styleId="Heading5Char">
    <w:name w:val="Heading 5 Char"/>
    <w:basedOn w:val="DefaultParagraphFont"/>
    <w:link w:val="Heading5"/>
    <w:uiPriority w:val="9"/>
    <w:semiHidden/>
    <w:rsid w:val="00FB7D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7D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7D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7D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7D0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B7D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7D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7D0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B7D01"/>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FB7D01"/>
    <w:rPr>
      <w:b/>
      <w:bCs/>
    </w:rPr>
  </w:style>
  <w:style w:type="character" w:styleId="Emphasis">
    <w:name w:val="Emphasis"/>
    <w:basedOn w:val="DefaultParagraphFont"/>
    <w:uiPriority w:val="20"/>
    <w:qFormat/>
    <w:rsid w:val="00FB7D01"/>
    <w:rPr>
      <w:i/>
      <w:iCs/>
    </w:rPr>
  </w:style>
  <w:style w:type="paragraph" w:styleId="Quote">
    <w:name w:val="Quote"/>
    <w:basedOn w:val="Normal"/>
    <w:next w:val="Normal"/>
    <w:link w:val="QuoteChar"/>
    <w:uiPriority w:val="29"/>
    <w:qFormat/>
    <w:rsid w:val="00FB7D01"/>
    <w:rPr>
      <w:i/>
      <w:iCs/>
      <w:color w:val="000000" w:themeColor="text1"/>
    </w:rPr>
  </w:style>
  <w:style w:type="character" w:customStyle="1" w:styleId="QuoteChar">
    <w:name w:val="Quote Char"/>
    <w:basedOn w:val="DefaultParagraphFont"/>
    <w:link w:val="Quote"/>
    <w:uiPriority w:val="29"/>
    <w:rsid w:val="00FB7D01"/>
    <w:rPr>
      <w:i/>
      <w:iCs/>
      <w:color w:val="000000" w:themeColor="text1"/>
    </w:rPr>
  </w:style>
  <w:style w:type="paragraph" w:styleId="IntenseQuote">
    <w:name w:val="Intense Quote"/>
    <w:basedOn w:val="Normal"/>
    <w:next w:val="Normal"/>
    <w:link w:val="IntenseQuoteChar"/>
    <w:uiPriority w:val="30"/>
    <w:qFormat/>
    <w:rsid w:val="00FB7D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7D01"/>
    <w:rPr>
      <w:b/>
      <w:bCs/>
      <w:i/>
      <w:iCs/>
      <w:color w:val="4F81BD" w:themeColor="accent1"/>
    </w:rPr>
  </w:style>
  <w:style w:type="character" w:styleId="SubtleEmphasis">
    <w:name w:val="Subtle Emphasis"/>
    <w:basedOn w:val="DefaultParagraphFont"/>
    <w:uiPriority w:val="19"/>
    <w:qFormat/>
    <w:rsid w:val="00FB7D01"/>
    <w:rPr>
      <w:i/>
      <w:iCs/>
      <w:color w:val="808080" w:themeColor="text1" w:themeTint="7F"/>
    </w:rPr>
  </w:style>
  <w:style w:type="character" w:styleId="IntenseEmphasis">
    <w:name w:val="Intense Emphasis"/>
    <w:basedOn w:val="DefaultParagraphFont"/>
    <w:uiPriority w:val="21"/>
    <w:qFormat/>
    <w:rsid w:val="00FB7D01"/>
    <w:rPr>
      <w:b/>
      <w:bCs/>
      <w:i/>
      <w:iCs/>
      <w:color w:val="4F81BD" w:themeColor="accent1"/>
    </w:rPr>
  </w:style>
  <w:style w:type="character" w:styleId="SubtleReference">
    <w:name w:val="Subtle Reference"/>
    <w:basedOn w:val="DefaultParagraphFont"/>
    <w:uiPriority w:val="31"/>
    <w:qFormat/>
    <w:rsid w:val="00FB7D01"/>
    <w:rPr>
      <w:smallCaps/>
      <w:color w:val="C0504D" w:themeColor="accent2"/>
      <w:u w:val="single"/>
    </w:rPr>
  </w:style>
  <w:style w:type="character" w:styleId="IntenseReference">
    <w:name w:val="Intense Reference"/>
    <w:basedOn w:val="DefaultParagraphFont"/>
    <w:uiPriority w:val="32"/>
    <w:qFormat/>
    <w:rsid w:val="00FB7D01"/>
    <w:rPr>
      <w:b/>
      <w:bCs/>
      <w:smallCaps/>
      <w:color w:val="C0504D" w:themeColor="accent2"/>
      <w:spacing w:val="5"/>
      <w:u w:val="single"/>
    </w:rPr>
  </w:style>
  <w:style w:type="character" w:styleId="BookTitle">
    <w:name w:val="Book Title"/>
    <w:basedOn w:val="DefaultParagraphFont"/>
    <w:uiPriority w:val="33"/>
    <w:qFormat/>
    <w:rsid w:val="00FB7D01"/>
    <w:rPr>
      <w:b/>
      <w:bCs/>
      <w:smallCaps/>
      <w:spacing w:val="5"/>
    </w:rPr>
  </w:style>
  <w:style w:type="table" w:styleId="TableGrid">
    <w:name w:val="Table Grid"/>
    <w:basedOn w:val="TableNormal"/>
    <w:uiPriority w:val="59"/>
    <w:rsid w:val="009B6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6DDE"/>
    <w:rPr>
      <w:rFonts w:ascii="Tahoma" w:hAnsi="Tahoma" w:cs="Tahoma"/>
      <w:sz w:val="16"/>
      <w:szCs w:val="16"/>
    </w:rPr>
  </w:style>
  <w:style w:type="character" w:customStyle="1" w:styleId="BalloonTextChar">
    <w:name w:val="Balloon Text Char"/>
    <w:basedOn w:val="DefaultParagraphFont"/>
    <w:link w:val="BalloonText"/>
    <w:uiPriority w:val="99"/>
    <w:semiHidden/>
    <w:rsid w:val="009B6DDE"/>
    <w:rPr>
      <w:rFonts w:ascii="Tahoma" w:hAnsi="Tahoma" w:cs="Tahoma"/>
      <w:sz w:val="16"/>
      <w:szCs w:val="16"/>
    </w:rPr>
  </w:style>
  <w:style w:type="paragraph" w:styleId="FootnoteText">
    <w:name w:val="footnote text"/>
    <w:basedOn w:val="Normal"/>
    <w:link w:val="FootnoteTextChar"/>
    <w:uiPriority w:val="99"/>
    <w:semiHidden/>
    <w:unhideWhenUsed/>
    <w:rsid w:val="009B6DDE"/>
    <w:rPr>
      <w:sz w:val="20"/>
      <w:szCs w:val="20"/>
    </w:rPr>
  </w:style>
  <w:style w:type="character" w:customStyle="1" w:styleId="FootnoteTextChar">
    <w:name w:val="Footnote Text Char"/>
    <w:basedOn w:val="DefaultParagraphFont"/>
    <w:link w:val="FootnoteText"/>
    <w:uiPriority w:val="99"/>
    <w:semiHidden/>
    <w:rsid w:val="009B6DDE"/>
    <w:rPr>
      <w:sz w:val="20"/>
      <w:szCs w:val="20"/>
    </w:rPr>
  </w:style>
  <w:style w:type="character" w:styleId="FootnoteReference">
    <w:name w:val="footnote reference"/>
    <w:basedOn w:val="DefaultParagraphFont"/>
    <w:uiPriority w:val="99"/>
    <w:semiHidden/>
    <w:unhideWhenUsed/>
    <w:rsid w:val="009B6DDE"/>
    <w:rPr>
      <w:vertAlign w:val="superscript"/>
    </w:rPr>
  </w:style>
  <w:style w:type="character" w:styleId="Hyperlink">
    <w:name w:val="Hyperlink"/>
    <w:basedOn w:val="DefaultParagraphFont"/>
    <w:uiPriority w:val="99"/>
    <w:unhideWhenUsed/>
    <w:rsid w:val="009536BA"/>
    <w:rPr>
      <w:color w:val="0000FF"/>
      <w:u w:val="single"/>
    </w:rPr>
  </w:style>
  <w:style w:type="paragraph" w:styleId="TOC1">
    <w:name w:val="toc 1"/>
    <w:basedOn w:val="Normal"/>
    <w:next w:val="Normal"/>
    <w:autoRedefine/>
    <w:uiPriority w:val="39"/>
    <w:unhideWhenUsed/>
    <w:rsid w:val="00C40E1F"/>
    <w:pPr>
      <w:spacing w:after="100"/>
    </w:pPr>
  </w:style>
  <w:style w:type="paragraph" w:styleId="TOC2">
    <w:name w:val="toc 2"/>
    <w:basedOn w:val="Normal"/>
    <w:next w:val="Normal"/>
    <w:autoRedefine/>
    <w:uiPriority w:val="39"/>
    <w:unhideWhenUsed/>
    <w:rsid w:val="00C40E1F"/>
    <w:pPr>
      <w:spacing w:after="100"/>
      <w:ind w:left="220"/>
    </w:pPr>
  </w:style>
  <w:style w:type="paragraph" w:styleId="Header">
    <w:name w:val="header"/>
    <w:basedOn w:val="Normal"/>
    <w:link w:val="HeaderChar"/>
    <w:uiPriority w:val="99"/>
    <w:unhideWhenUsed/>
    <w:rsid w:val="00F55F07"/>
    <w:pPr>
      <w:tabs>
        <w:tab w:val="center" w:pos="4536"/>
        <w:tab w:val="right" w:pos="9072"/>
      </w:tabs>
    </w:pPr>
  </w:style>
  <w:style w:type="character" w:customStyle="1" w:styleId="HeaderChar">
    <w:name w:val="Header Char"/>
    <w:basedOn w:val="DefaultParagraphFont"/>
    <w:link w:val="Header"/>
    <w:uiPriority w:val="99"/>
    <w:rsid w:val="00F55F07"/>
  </w:style>
  <w:style w:type="paragraph" w:styleId="Footer">
    <w:name w:val="footer"/>
    <w:basedOn w:val="Normal"/>
    <w:link w:val="FooterChar"/>
    <w:uiPriority w:val="99"/>
    <w:unhideWhenUsed/>
    <w:rsid w:val="00F55F07"/>
    <w:pPr>
      <w:tabs>
        <w:tab w:val="center" w:pos="4536"/>
        <w:tab w:val="right" w:pos="9072"/>
      </w:tabs>
    </w:pPr>
  </w:style>
  <w:style w:type="character" w:customStyle="1" w:styleId="FooterChar">
    <w:name w:val="Footer Char"/>
    <w:basedOn w:val="DefaultParagraphFont"/>
    <w:link w:val="Footer"/>
    <w:uiPriority w:val="99"/>
    <w:rsid w:val="00F55F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C9"/>
  </w:style>
  <w:style w:type="paragraph" w:styleId="Heading1">
    <w:name w:val="heading 1"/>
    <w:aliases w:val="Naslov 1. razine"/>
    <w:basedOn w:val="Normal"/>
    <w:next w:val="Normal"/>
    <w:link w:val="Heading1Char"/>
    <w:uiPriority w:val="9"/>
    <w:qFormat/>
    <w:rsid w:val="007212C9"/>
    <w:pPr>
      <w:keepNext/>
      <w:keepLines/>
      <w:spacing w:after="240"/>
      <w:jc w:val="center"/>
      <w:outlineLvl w:val="0"/>
    </w:pPr>
    <w:rPr>
      <w:rFonts w:ascii="Arial" w:eastAsiaTheme="majorEastAsia" w:hAnsi="Arial" w:cstheme="majorBidi"/>
      <w:b/>
      <w:bCs/>
      <w:color w:val="000000" w:themeColor="text1"/>
      <w:sz w:val="32"/>
      <w:szCs w:val="28"/>
      <w:lang w:eastAsia="hr-HR"/>
    </w:rPr>
  </w:style>
  <w:style w:type="paragraph" w:styleId="Heading2">
    <w:name w:val="heading 2"/>
    <w:aliases w:val="Naslov 2. razine"/>
    <w:basedOn w:val="Normal"/>
    <w:next w:val="Normal"/>
    <w:link w:val="Heading2Char"/>
    <w:uiPriority w:val="9"/>
    <w:unhideWhenUsed/>
    <w:qFormat/>
    <w:rsid w:val="007212C9"/>
    <w:pPr>
      <w:keepNext/>
      <w:keepLines/>
      <w:spacing w:before="360" w:after="240"/>
      <w:outlineLvl w:val="1"/>
    </w:pPr>
    <w:rPr>
      <w:rFonts w:ascii="Arial" w:eastAsiaTheme="majorEastAsia" w:hAnsi="Arial" w:cstheme="majorBidi"/>
      <w:b/>
      <w:bCs/>
      <w:color w:val="000000" w:themeColor="text1"/>
      <w:sz w:val="28"/>
      <w:szCs w:val="26"/>
      <w:lang w:eastAsia="hr-HR"/>
    </w:rPr>
  </w:style>
  <w:style w:type="paragraph" w:styleId="Heading3">
    <w:name w:val="heading 3"/>
    <w:aliases w:val="Naslov 3. razine"/>
    <w:basedOn w:val="Normal"/>
    <w:next w:val="Normal"/>
    <w:link w:val="Heading3Char"/>
    <w:uiPriority w:val="9"/>
    <w:unhideWhenUsed/>
    <w:qFormat/>
    <w:rsid w:val="007212C9"/>
    <w:pPr>
      <w:keepNext/>
      <w:keepLines/>
      <w:spacing w:before="360" w:after="240"/>
      <w:outlineLvl w:val="2"/>
    </w:pPr>
    <w:rPr>
      <w:rFonts w:ascii="Arial" w:eastAsiaTheme="majorEastAsia" w:hAnsi="Arial" w:cstheme="majorBidi"/>
      <w:bCs/>
      <w:color w:val="000000" w:themeColor="text1"/>
      <w:lang w:eastAsia="hr-HR"/>
    </w:rPr>
  </w:style>
  <w:style w:type="paragraph" w:styleId="Heading4">
    <w:name w:val="heading 4"/>
    <w:aliases w:val="Naslov 4. razine"/>
    <w:basedOn w:val="Normal"/>
    <w:next w:val="Normal"/>
    <w:link w:val="Heading4Char"/>
    <w:uiPriority w:val="9"/>
    <w:unhideWhenUsed/>
    <w:qFormat/>
    <w:rsid w:val="007212C9"/>
    <w:pPr>
      <w:keepNext/>
      <w:keepLines/>
      <w:spacing w:before="360" w:after="240"/>
      <w:outlineLvl w:val="3"/>
    </w:pPr>
    <w:rPr>
      <w:rFonts w:ascii="Arial" w:eastAsiaTheme="majorEastAsia" w:hAnsi="Arial" w:cstheme="majorBidi"/>
      <w:b/>
      <w:bCs/>
      <w:i/>
      <w:iCs/>
      <w:color w:val="000000" w:themeColor="text1"/>
    </w:rPr>
  </w:style>
  <w:style w:type="paragraph" w:styleId="Heading5">
    <w:name w:val="heading 5"/>
    <w:basedOn w:val="Normal"/>
    <w:next w:val="Normal"/>
    <w:link w:val="Heading5Char"/>
    <w:uiPriority w:val="9"/>
    <w:semiHidden/>
    <w:unhideWhenUsed/>
    <w:qFormat/>
    <w:rsid w:val="00FB7D0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7D0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7D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7D0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7D0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slov 1. razine Char"/>
    <w:basedOn w:val="DefaultParagraphFont"/>
    <w:link w:val="Heading1"/>
    <w:uiPriority w:val="9"/>
    <w:rsid w:val="007212C9"/>
    <w:rPr>
      <w:rFonts w:ascii="Arial" w:eastAsiaTheme="majorEastAsia" w:hAnsi="Arial" w:cstheme="majorBidi"/>
      <w:b/>
      <w:bCs/>
      <w:color w:val="000000" w:themeColor="text1"/>
      <w:sz w:val="32"/>
      <w:szCs w:val="28"/>
      <w:lang w:eastAsia="hr-HR"/>
    </w:rPr>
  </w:style>
  <w:style w:type="character" w:customStyle="1" w:styleId="Heading2Char">
    <w:name w:val="Heading 2 Char"/>
    <w:aliases w:val="Naslov 2. razine Char"/>
    <w:basedOn w:val="DefaultParagraphFont"/>
    <w:link w:val="Heading2"/>
    <w:uiPriority w:val="9"/>
    <w:rsid w:val="007212C9"/>
    <w:rPr>
      <w:rFonts w:ascii="Arial" w:eastAsiaTheme="majorEastAsia" w:hAnsi="Arial" w:cstheme="majorBidi"/>
      <w:b/>
      <w:bCs/>
      <w:color w:val="000000" w:themeColor="text1"/>
      <w:sz w:val="28"/>
      <w:szCs w:val="26"/>
      <w:lang w:eastAsia="hr-HR"/>
    </w:rPr>
  </w:style>
  <w:style w:type="character" w:customStyle="1" w:styleId="Heading3Char">
    <w:name w:val="Heading 3 Char"/>
    <w:aliases w:val="Naslov 3. razine Char"/>
    <w:basedOn w:val="DefaultParagraphFont"/>
    <w:link w:val="Heading3"/>
    <w:uiPriority w:val="9"/>
    <w:rsid w:val="007212C9"/>
    <w:rPr>
      <w:rFonts w:ascii="Arial" w:eastAsiaTheme="majorEastAsia" w:hAnsi="Arial" w:cstheme="majorBidi"/>
      <w:bCs/>
      <w:color w:val="000000" w:themeColor="text1"/>
      <w:lang w:eastAsia="hr-HR"/>
    </w:rPr>
  </w:style>
  <w:style w:type="character" w:customStyle="1" w:styleId="Heading4Char">
    <w:name w:val="Heading 4 Char"/>
    <w:aliases w:val="Naslov 4. razine Char"/>
    <w:basedOn w:val="DefaultParagraphFont"/>
    <w:link w:val="Heading4"/>
    <w:uiPriority w:val="9"/>
    <w:rsid w:val="007212C9"/>
    <w:rPr>
      <w:rFonts w:ascii="Arial" w:eastAsiaTheme="majorEastAsia" w:hAnsi="Arial" w:cstheme="majorBidi"/>
      <w:b/>
      <w:bCs/>
      <w:i/>
      <w:iCs/>
      <w:color w:val="000000" w:themeColor="text1"/>
    </w:rPr>
  </w:style>
  <w:style w:type="paragraph" w:styleId="Caption">
    <w:name w:val="caption"/>
    <w:basedOn w:val="Normal"/>
    <w:next w:val="Normal"/>
    <w:uiPriority w:val="35"/>
    <w:unhideWhenUsed/>
    <w:qFormat/>
    <w:rsid w:val="007212C9"/>
    <w:pPr>
      <w:spacing w:after="200"/>
    </w:pPr>
    <w:rPr>
      <w:b/>
      <w:bCs/>
      <w:color w:val="4F81BD" w:themeColor="accent1"/>
      <w:sz w:val="18"/>
      <w:szCs w:val="18"/>
    </w:rPr>
  </w:style>
  <w:style w:type="paragraph" w:styleId="NoSpacing">
    <w:name w:val="No Spacing"/>
    <w:uiPriority w:val="1"/>
    <w:qFormat/>
    <w:rsid w:val="007212C9"/>
  </w:style>
  <w:style w:type="paragraph" w:styleId="ListParagraph">
    <w:name w:val="List Paragraph"/>
    <w:basedOn w:val="Normal"/>
    <w:uiPriority w:val="34"/>
    <w:qFormat/>
    <w:rsid w:val="007212C9"/>
    <w:pPr>
      <w:ind w:left="720"/>
      <w:contextualSpacing/>
    </w:pPr>
  </w:style>
  <w:style w:type="paragraph" w:styleId="TOCHeading">
    <w:name w:val="TOC Heading"/>
    <w:basedOn w:val="Heading1"/>
    <w:next w:val="Normal"/>
    <w:uiPriority w:val="39"/>
    <w:semiHidden/>
    <w:unhideWhenUsed/>
    <w:qFormat/>
    <w:rsid w:val="007212C9"/>
    <w:pPr>
      <w:spacing w:before="480" w:after="0" w:line="276" w:lineRule="auto"/>
      <w:jc w:val="left"/>
      <w:outlineLvl w:val="9"/>
    </w:pPr>
    <w:rPr>
      <w:rFonts w:asciiTheme="majorHAnsi" w:hAnsiTheme="majorHAnsi"/>
      <w:color w:val="365F91" w:themeColor="accent1" w:themeShade="BF"/>
      <w:sz w:val="28"/>
      <w:lang w:val="en-US" w:eastAsia="en-US"/>
    </w:rPr>
  </w:style>
  <w:style w:type="character" w:customStyle="1" w:styleId="Heading5Char">
    <w:name w:val="Heading 5 Char"/>
    <w:basedOn w:val="DefaultParagraphFont"/>
    <w:link w:val="Heading5"/>
    <w:uiPriority w:val="9"/>
    <w:semiHidden/>
    <w:rsid w:val="00FB7D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7D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7D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7D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7D0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B7D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7D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7D0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B7D01"/>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FB7D01"/>
    <w:rPr>
      <w:b/>
      <w:bCs/>
    </w:rPr>
  </w:style>
  <w:style w:type="character" w:styleId="Emphasis">
    <w:name w:val="Emphasis"/>
    <w:basedOn w:val="DefaultParagraphFont"/>
    <w:uiPriority w:val="20"/>
    <w:qFormat/>
    <w:rsid w:val="00FB7D01"/>
    <w:rPr>
      <w:i/>
      <w:iCs/>
    </w:rPr>
  </w:style>
  <w:style w:type="paragraph" w:styleId="Quote">
    <w:name w:val="Quote"/>
    <w:basedOn w:val="Normal"/>
    <w:next w:val="Normal"/>
    <w:link w:val="QuoteChar"/>
    <w:uiPriority w:val="29"/>
    <w:qFormat/>
    <w:rsid w:val="00FB7D01"/>
    <w:rPr>
      <w:i/>
      <w:iCs/>
      <w:color w:val="000000" w:themeColor="text1"/>
    </w:rPr>
  </w:style>
  <w:style w:type="character" w:customStyle="1" w:styleId="QuoteChar">
    <w:name w:val="Quote Char"/>
    <w:basedOn w:val="DefaultParagraphFont"/>
    <w:link w:val="Quote"/>
    <w:uiPriority w:val="29"/>
    <w:rsid w:val="00FB7D01"/>
    <w:rPr>
      <w:i/>
      <w:iCs/>
      <w:color w:val="000000" w:themeColor="text1"/>
    </w:rPr>
  </w:style>
  <w:style w:type="paragraph" w:styleId="IntenseQuote">
    <w:name w:val="Intense Quote"/>
    <w:basedOn w:val="Normal"/>
    <w:next w:val="Normal"/>
    <w:link w:val="IntenseQuoteChar"/>
    <w:uiPriority w:val="30"/>
    <w:qFormat/>
    <w:rsid w:val="00FB7D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7D01"/>
    <w:rPr>
      <w:b/>
      <w:bCs/>
      <w:i/>
      <w:iCs/>
      <w:color w:val="4F81BD" w:themeColor="accent1"/>
    </w:rPr>
  </w:style>
  <w:style w:type="character" w:styleId="SubtleEmphasis">
    <w:name w:val="Subtle Emphasis"/>
    <w:basedOn w:val="DefaultParagraphFont"/>
    <w:uiPriority w:val="19"/>
    <w:qFormat/>
    <w:rsid w:val="00FB7D01"/>
    <w:rPr>
      <w:i/>
      <w:iCs/>
      <w:color w:val="808080" w:themeColor="text1" w:themeTint="7F"/>
    </w:rPr>
  </w:style>
  <w:style w:type="character" w:styleId="IntenseEmphasis">
    <w:name w:val="Intense Emphasis"/>
    <w:basedOn w:val="DefaultParagraphFont"/>
    <w:uiPriority w:val="21"/>
    <w:qFormat/>
    <w:rsid w:val="00FB7D01"/>
    <w:rPr>
      <w:b/>
      <w:bCs/>
      <w:i/>
      <w:iCs/>
      <w:color w:val="4F81BD" w:themeColor="accent1"/>
    </w:rPr>
  </w:style>
  <w:style w:type="character" w:styleId="SubtleReference">
    <w:name w:val="Subtle Reference"/>
    <w:basedOn w:val="DefaultParagraphFont"/>
    <w:uiPriority w:val="31"/>
    <w:qFormat/>
    <w:rsid w:val="00FB7D01"/>
    <w:rPr>
      <w:smallCaps/>
      <w:color w:val="C0504D" w:themeColor="accent2"/>
      <w:u w:val="single"/>
    </w:rPr>
  </w:style>
  <w:style w:type="character" w:styleId="IntenseReference">
    <w:name w:val="Intense Reference"/>
    <w:basedOn w:val="DefaultParagraphFont"/>
    <w:uiPriority w:val="32"/>
    <w:qFormat/>
    <w:rsid w:val="00FB7D01"/>
    <w:rPr>
      <w:b/>
      <w:bCs/>
      <w:smallCaps/>
      <w:color w:val="C0504D" w:themeColor="accent2"/>
      <w:spacing w:val="5"/>
      <w:u w:val="single"/>
    </w:rPr>
  </w:style>
  <w:style w:type="character" w:styleId="BookTitle">
    <w:name w:val="Book Title"/>
    <w:basedOn w:val="DefaultParagraphFont"/>
    <w:uiPriority w:val="33"/>
    <w:qFormat/>
    <w:rsid w:val="00FB7D01"/>
    <w:rPr>
      <w:b/>
      <w:bCs/>
      <w:smallCaps/>
      <w:spacing w:val="5"/>
    </w:rPr>
  </w:style>
  <w:style w:type="table" w:styleId="TableGrid">
    <w:name w:val="Table Grid"/>
    <w:basedOn w:val="TableNormal"/>
    <w:uiPriority w:val="59"/>
    <w:rsid w:val="009B6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6DDE"/>
    <w:rPr>
      <w:rFonts w:ascii="Tahoma" w:hAnsi="Tahoma" w:cs="Tahoma"/>
      <w:sz w:val="16"/>
      <w:szCs w:val="16"/>
    </w:rPr>
  </w:style>
  <w:style w:type="character" w:customStyle="1" w:styleId="BalloonTextChar">
    <w:name w:val="Balloon Text Char"/>
    <w:basedOn w:val="DefaultParagraphFont"/>
    <w:link w:val="BalloonText"/>
    <w:uiPriority w:val="99"/>
    <w:semiHidden/>
    <w:rsid w:val="009B6DDE"/>
    <w:rPr>
      <w:rFonts w:ascii="Tahoma" w:hAnsi="Tahoma" w:cs="Tahoma"/>
      <w:sz w:val="16"/>
      <w:szCs w:val="16"/>
    </w:rPr>
  </w:style>
  <w:style w:type="paragraph" w:styleId="FootnoteText">
    <w:name w:val="footnote text"/>
    <w:basedOn w:val="Normal"/>
    <w:link w:val="FootnoteTextChar"/>
    <w:uiPriority w:val="99"/>
    <w:semiHidden/>
    <w:unhideWhenUsed/>
    <w:rsid w:val="009B6DDE"/>
    <w:rPr>
      <w:sz w:val="20"/>
      <w:szCs w:val="20"/>
    </w:rPr>
  </w:style>
  <w:style w:type="character" w:customStyle="1" w:styleId="FootnoteTextChar">
    <w:name w:val="Footnote Text Char"/>
    <w:basedOn w:val="DefaultParagraphFont"/>
    <w:link w:val="FootnoteText"/>
    <w:uiPriority w:val="99"/>
    <w:semiHidden/>
    <w:rsid w:val="009B6DDE"/>
    <w:rPr>
      <w:sz w:val="20"/>
      <w:szCs w:val="20"/>
    </w:rPr>
  </w:style>
  <w:style w:type="character" w:styleId="FootnoteReference">
    <w:name w:val="footnote reference"/>
    <w:basedOn w:val="DefaultParagraphFont"/>
    <w:uiPriority w:val="99"/>
    <w:semiHidden/>
    <w:unhideWhenUsed/>
    <w:rsid w:val="009B6DDE"/>
    <w:rPr>
      <w:vertAlign w:val="superscript"/>
    </w:rPr>
  </w:style>
  <w:style w:type="character" w:styleId="Hyperlink">
    <w:name w:val="Hyperlink"/>
    <w:basedOn w:val="DefaultParagraphFont"/>
    <w:uiPriority w:val="99"/>
    <w:unhideWhenUsed/>
    <w:rsid w:val="009536BA"/>
    <w:rPr>
      <w:color w:val="0000FF"/>
      <w:u w:val="single"/>
    </w:rPr>
  </w:style>
  <w:style w:type="paragraph" w:styleId="TOC1">
    <w:name w:val="toc 1"/>
    <w:basedOn w:val="Normal"/>
    <w:next w:val="Normal"/>
    <w:autoRedefine/>
    <w:uiPriority w:val="39"/>
    <w:unhideWhenUsed/>
    <w:rsid w:val="00C40E1F"/>
    <w:pPr>
      <w:spacing w:after="100"/>
    </w:pPr>
  </w:style>
  <w:style w:type="paragraph" w:styleId="TOC2">
    <w:name w:val="toc 2"/>
    <w:basedOn w:val="Normal"/>
    <w:next w:val="Normal"/>
    <w:autoRedefine/>
    <w:uiPriority w:val="39"/>
    <w:unhideWhenUsed/>
    <w:rsid w:val="00C40E1F"/>
    <w:pPr>
      <w:spacing w:after="100"/>
      <w:ind w:left="220"/>
    </w:pPr>
  </w:style>
  <w:style w:type="paragraph" w:styleId="Header">
    <w:name w:val="header"/>
    <w:basedOn w:val="Normal"/>
    <w:link w:val="HeaderChar"/>
    <w:uiPriority w:val="99"/>
    <w:unhideWhenUsed/>
    <w:rsid w:val="00F55F07"/>
    <w:pPr>
      <w:tabs>
        <w:tab w:val="center" w:pos="4536"/>
        <w:tab w:val="right" w:pos="9072"/>
      </w:tabs>
    </w:pPr>
  </w:style>
  <w:style w:type="character" w:customStyle="1" w:styleId="HeaderChar">
    <w:name w:val="Header Char"/>
    <w:basedOn w:val="DefaultParagraphFont"/>
    <w:link w:val="Header"/>
    <w:uiPriority w:val="99"/>
    <w:rsid w:val="00F55F07"/>
  </w:style>
  <w:style w:type="paragraph" w:styleId="Footer">
    <w:name w:val="footer"/>
    <w:basedOn w:val="Normal"/>
    <w:link w:val="FooterChar"/>
    <w:uiPriority w:val="99"/>
    <w:unhideWhenUsed/>
    <w:rsid w:val="00F55F07"/>
    <w:pPr>
      <w:tabs>
        <w:tab w:val="center" w:pos="4536"/>
        <w:tab w:val="right" w:pos="9072"/>
      </w:tabs>
    </w:pPr>
  </w:style>
  <w:style w:type="character" w:customStyle="1" w:styleId="FooterChar">
    <w:name w:val="Footer Char"/>
    <w:basedOn w:val="DefaultParagraphFont"/>
    <w:link w:val="Footer"/>
    <w:uiPriority w:val="99"/>
    <w:rsid w:val="00F55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10921">
      <w:bodyDiv w:val="1"/>
      <w:marLeft w:val="0"/>
      <w:marRight w:val="0"/>
      <w:marTop w:val="0"/>
      <w:marBottom w:val="0"/>
      <w:divBdr>
        <w:top w:val="none" w:sz="0" w:space="0" w:color="auto"/>
        <w:left w:val="none" w:sz="0" w:space="0" w:color="auto"/>
        <w:bottom w:val="none" w:sz="0" w:space="0" w:color="auto"/>
        <w:right w:val="none" w:sz="0" w:space="0" w:color="auto"/>
      </w:divBdr>
    </w:div>
    <w:div w:id="284122078">
      <w:bodyDiv w:val="1"/>
      <w:marLeft w:val="0"/>
      <w:marRight w:val="0"/>
      <w:marTop w:val="0"/>
      <w:marBottom w:val="0"/>
      <w:divBdr>
        <w:top w:val="none" w:sz="0" w:space="0" w:color="auto"/>
        <w:left w:val="none" w:sz="0" w:space="0" w:color="auto"/>
        <w:bottom w:val="none" w:sz="0" w:space="0" w:color="auto"/>
        <w:right w:val="none" w:sz="0" w:space="0" w:color="auto"/>
      </w:divBdr>
    </w:div>
    <w:div w:id="9368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iso.org/iso/home/standards/certification/iso-survey.htm?certificate=ISO/IEC%2027001&amp;countrycode=AF" TargetMode="External"/><Relationship Id="rId2" Type="http://schemas.openxmlformats.org/officeDocument/2006/relationships/numbering" Target="numbering.xml"/><Relationship Id="rId16" Type="http://schemas.openxmlformats.org/officeDocument/2006/relationships/hyperlink" Target="http://www.crn.com.au/News/152262,10-reasons-why-iso-27001-makes-a-better-is-security-professional.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kvaliteta.net/informacije/radovi/Knez_J_rad.pdf"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17881-3E63-434A-BB3A-8E8D391E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20</Pages>
  <Words>3291</Words>
  <Characters>18762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118</cp:revision>
  <cp:lastPrinted>2013-12-30T18:55:00Z</cp:lastPrinted>
  <dcterms:created xsi:type="dcterms:W3CDTF">2013-12-27T16:42:00Z</dcterms:created>
  <dcterms:modified xsi:type="dcterms:W3CDTF">2014-01-09T13:10:00Z</dcterms:modified>
</cp:coreProperties>
</file>