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4F86E" w14:textId="77777777" w:rsidR="000D1C3B" w:rsidRPr="00FF590F" w:rsidRDefault="00B77AC0" w:rsidP="00CE52D7">
      <w:pPr>
        <w:spacing w:after="0" w:line="240" w:lineRule="auto"/>
        <w:jc w:val="center"/>
        <w:rPr>
          <w:b/>
          <w:sz w:val="40"/>
          <w:szCs w:val="40"/>
        </w:rPr>
      </w:pPr>
      <w:r w:rsidRPr="00FF590F">
        <w:rPr>
          <w:b/>
          <w:sz w:val="40"/>
          <w:szCs w:val="40"/>
        </w:rPr>
        <w:t xml:space="preserve"> </w:t>
      </w:r>
      <w:r w:rsidR="00CE52D7" w:rsidRPr="00FF590F">
        <w:rPr>
          <w:b/>
          <w:sz w:val="40"/>
          <w:szCs w:val="40"/>
        </w:rPr>
        <w:t>CONSTANCIA DE ENTREGA DE SERVICIO</w:t>
      </w:r>
    </w:p>
    <w:p w14:paraId="4DAB6B54" w14:textId="77777777" w:rsidR="00CE52D7" w:rsidRPr="00FF590F" w:rsidRDefault="00CE52D7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4441476A" w14:textId="77777777" w:rsidR="001563AB" w:rsidRPr="00FF590F" w:rsidRDefault="001563AB" w:rsidP="00CE52D7">
      <w:pPr>
        <w:spacing w:after="0" w:line="240" w:lineRule="auto"/>
        <w:jc w:val="center"/>
        <w:rPr>
          <w:b/>
          <w:sz w:val="24"/>
          <w:szCs w:val="24"/>
        </w:rPr>
      </w:pPr>
    </w:p>
    <w:p w14:paraId="3BAA4C52" w14:textId="204435C0" w:rsidR="00F62F2D" w:rsidRPr="00B839F9" w:rsidRDefault="00933839" w:rsidP="00716C66">
      <w:pPr>
        <w:pStyle w:val="Sinespaciado"/>
        <w:jc w:val="both"/>
        <w:rPr>
          <w:rFonts w:ascii="Calibri" w:hAnsi="Calibri" w:cs="Segoe UI"/>
          <w:sz w:val="24"/>
          <w:szCs w:val="24"/>
        </w:rPr>
      </w:pPr>
      <w:r w:rsidRPr="00B839F9">
        <w:rPr>
          <w:rFonts w:ascii="Calibri" w:hAnsi="Calibri" w:cs="Segoe UI"/>
          <w:sz w:val="24"/>
          <w:szCs w:val="24"/>
        </w:rPr>
        <w:t xml:space="preserve">Por medio de la presente se hace constar que </w:t>
      </w:r>
      <w:r w:rsidR="00D868D7" w:rsidRPr="00B839F9">
        <w:rPr>
          <w:rFonts w:ascii="Calibri" w:hAnsi="Calibri" w:cs="Segoe UI"/>
          <w:sz w:val="24"/>
          <w:szCs w:val="24"/>
        </w:rPr>
        <w:t>se realizó la instalación del sistema informático</w:t>
      </w:r>
      <w:r w:rsidR="002D5E67" w:rsidRPr="00B839F9">
        <w:rPr>
          <w:rFonts w:ascii="Calibri" w:hAnsi="Calibri" w:cs="Segoe UI"/>
          <w:sz w:val="24"/>
          <w:szCs w:val="24"/>
        </w:rPr>
        <w:t xml:space="preserve"> integral </w:t>
      </w:r>
      <w:hyperlink r:id="rId11" w:history="1">
        <w:r w:rsidR="002D5E67" w:rsidRPr="00B839F9">
          <w:rPr>
            <w:rStyle w:val="Hipervnculo"/>
            <w:rFonts w:ascii="Calibri" w:hAnsi="Calibri" w:cs="Segoe UI"/>
            <w:sz w:val="24"/>
            <w:szCs w:val="24"/>
          </w:rPr>
          <w:t>Justici@.NET</w:t>
        </w:r>
      </w:hyperlink>
      <w:r w:rsidR="002D5E67" w:rsidRPr="00B839F9">
        <w:rPr>
          <w:rFonts w:ascii="Calibri" w:hAnsi="Calibri" w:cs="Segoe UI"/>
          <w:sz w:val="24"/>
          <w:szCs w:val="24"/>
        </w:rPr>
        <w:t xml:space="preserve"> (</w:t>
      </w:r>
      <w:r w:rsidR="002D5E67" w:rsidRPr="00B839F9">
        <w:rPr>
          <w:rFonts w:ascii="Calibri" w:hAnsi="Calibri" w:cs="Segoe UI"/>
          <w:i/>
          <w:sz w:val="24"/>
          <w:szCs w:val="24"/>
        </w:rPr>
        <w:t xml:space="preserve">ver </w:t>
      </w:r>
      <w:r w:rsidR="002D5E67" w:rsidRPr="00F17673">
        <w:rPr>
          <w:rFonts w:ascii="Calibri" w:hAnsi="Calibri" w:cs="Segoe UI"/>
          <w:i/>
          <w:sz w:val="24"/>
          <w:szCs w:val="24"/>
        </w:rPr>
        <w:t>Anexo 1 Relación de equipos donde se realizó la instalación del sistema informático</w:t>
      </w:r>
      <w:r w:rsidR="00A75A86">
        <w:rPr>
          <w:rFonts w:ascii="Calibri" w:hAnsi="Calibri" w:cs="Segoe UI"/>
          <w:sz w:val="24"/>
          <w:szCs w:val="24"/>
        </w:rPr>
        <w:t>)</w:t>
      </w:r>
      <w:r w:rsidR="00A75A86" w:rsidRPr="00B839F9">
        <w:rPr>
          <w:rFonts w:ascii="Calibri" w:hAnsi="Calibri" w:cs="Segoe UI"/>
          <w:sz w:val="24"/>
          <w:szCs w:val="24"/>
        </w:rPr>
        <w:t xml:space="preserve"> </w:t>
      </w:r>
      <w:r w:rsidR="00A75A86">
        <w:rPr>
          <w:rFonts w:ascii="Calibri" w:hAnsi="Calibri" w:cs="Segoe UI"/>
          <w:sz w:val="24"/>
          <w:szCs w:val="24"/>
        </w:rPr>
        <w:t>en 25</w:t>
      </w:r>
      <w:r w:rsidR="00A75A86" w:rsidRPr="00B839F9">
        <w:rPr>
          <w:rFonts w:ascii="Calibri" w:hAnsi="Calibri" w:cs="Segoe UI"/>
          <w:sz w:val="24"/>
          <w:szCs w:val="24"/>
        </w:rPr>
        <w:t xml:space="preserve"> equipos de cómputo </w:t>
      </w:r>
      <w:r w:rsidR="00A75A86">
        <w:rPr>
          <w:rFonts w:ascii="Calibri" w:hAnsi="Calibri" w:cs="Segoe UI"/>
          <w:sz w:val="24"/>
          <w:szCs w:val="24"/>
        </w:rPr>
        <w:t>ubicados en el</w:t>
      </w:r>
      <w:r w:rsidR="00D5608A">
        <w:rPr>
          <w:rFonts w:ascii="Calibri" w:hAnsi="Calibri" w:cs="Segoe UI"/>
          <w:sz w:val="24"/>
          <w:szCs w:val="24"/>
        </w:rPr>
        <w:t xml:space="preserve"> aula </w:t>
      </w:r>
      <w:r w:rsidR="00A75A86">
        <w:rPr>
          <w:rFonts w:ascii="Calibri" w:hAnsi="Calibri" w:cs="Segoe UI"/>
          <w:sz w:val="24"/>
          <w:szCs w:val="24"/>
        </w:rPr>
        <w:t xml:space="preserve">de Chilpancingo </w:t>
      </w:r>
      <w:r w:rsidR="00D5608A">
        <w:rPr>
          <w:rFonts w:ascii="Calibri" w:hAnsi="Calibri" w:cs="Segoe UI"/>
          <w:sz w:val="24"/>
          <w:szCs w:val="24"/>
        </w:rPr>
        <w:t xml:space="preserve">dentro de la Subdelegación Administrativa con dirección </w:t>
      </w:r>
      <w:r w:rsidR="00D5608A" w:rsidRPr="00D5608A">
        <w:rPr>
          <w:rFonts w:ascii="Calibri" w:hAnsi="Calibri" w:cs="Segoe UI"/>
          <w:sz w:val="24"/>
          <w:szCs w:val="24"/>
        </w:rPr>
        <w:t>Calle Acceso Tecnológico #3</w:t>
      </w:r>
      <w:r w:rsidR="00D5608A">
        <w:rPr>
          <w:rFonts w:ascii="Calibri" w:hAnsi="Calibri" w:cs="Segoe UI"/>
          <w:sz w:val="24"/>
          <w:szCs w:val="24"/>
        </w:rPr>
        <w:t xml:space="preserve"> </w:t>
      </w:r>
      <w:r w:rsidR="00D5608A" w:rsidRPr="00D5608A">
        <w:rPr>
          <w:rFonts w:ascii="Calibri" w:hAnsi="Calibri" w:cs="Segoe UI"/>
          <w:sz w:val="24"/>
          <w:szCs w:val="24"/>
        </w:rPr>
        <w:t>Colonia Predio La Cortina CP 39090</w:t>
      </w:r>
      <w:r w:rsidR="00A75A86">
        <w:rPr>
          <w:rFonts w:ascii="Calibri" w:hAnsi="Calibri" w:cs="Segoe UI"/>
          <w:sz w:val="24"/>
          <w:szCs w:val="24"/>
        </w:rPr>
        <w:t xml:space="preserve"> y en 11 equipos de cómputo</w:t>
      </w:r>
      <w:r w:rsidR="00A75A86" w:rsidRPr="00A75A86">
        <w:rPr>
          <w:rFonts w:ascii="Calibri" w:hAnsi="Calibri" w:cs="Segoe UI"/>
          <w:sz w:val="24"/>
          <w:szCs w:val="24"/>
        </w:rPr>
        <w:t xml:space="preserve"> </w:t>
      </w:r>
      <w:r w:rsidR="00A75A86">
        <w:rPr>
          <w:rFonts w:ascii="Calibri" w:hAnsi="Calibri" w:cs="Segoe UI"/>
          <w:sz w:val="24"/>
          <w:szCs w:val="24"/>
        </w:rPr>
        <w:t>ubicados en el aula de Acapulco den</w:t>
      </w:r>
      <w:r w:rsidR="00716C66">
        <w:rPr>
          <w:rFonts w:ascii="Calibri" w:hAnsi="Calibri" w:cs="Segoe UI"/>
          <w:sz w:val="24"/>
          <w:szCs w:val="24"/>
        </w:rPr>
        <w:t xml:space="preserve">tro de la Subsede con dirección Calle </w:t>
      </w:r>
      <w:r w:rsidR="00716C66" w:rsidRPr="00716C66">
        <w:rPr>
          <w:rFonts w:ascii="Calibri" w:hAnsi="Calibri" w:cs="Segoe UI"/>
          <w:sz w:val="24"/>
          <w:szCs w:val="24"/>
        </w:rPr>
        <w:t xml:space="preserve">Mar </w:t>
      </w:r>
      <w:r w:rsidR="00716C66" w:rsidRPr="00716C66">
        <w:rPr>
          <w:rFonts w:ascii="Calibri" w:hAnsi="Calibri" w:cs="Segoe UI"/>
          <w:sz w:val="24"/>
          <w:szCs w:val="24"/>
        </w:rPr>
        <w:t>Mediterráneo</w:t>
      </w:r>
      <w:r w:rsidR="00716C66" w:rsidRPr="00716C66">
        <w:rPr>
          <w:rFonts w:ascii="Calibri" w:hAnsi="Calibri" w:cs="Segoe UI"/>
          <w:sz w:val="24"/>
          <w:szCs w:val="24"/>
        </w:rPr>
        <w:t xml:space="preserve"> #18</w:t>
      </w:r>
      <w:r w:rsidR="00716C66">
        <w:rPr>
          <w:rFonts w:ascii="Calibri" w:hAnsi="Calibri" w:cs="Segoe UI"/>
          <w:sz w:val="24"/>
          <w:szCs w:val="24"/>
        </w:rPr>
        <w:t xml:space="preserve"> Fracc. Las Anclas CP</w:t>
      </w:r>
      <w:r w:rsidR="00716C66" w:rsidRPr="00716C66">
        <w:rPr>
          <w:rFonts w:ascii="Calibri" w:hAnsi="Calibri" w:cs="Segoe UI"/>
          <w:sz w:val="24"/>
          <w:szCs w:val="24"/>
        </w:rPr>
        <w:t xml:space="preserve"> 39630</w:t>
      </w:r>
      <w:r w:rsidR="002D5E67" w:rsidRPr="00B839F9">
        <w:rPr>
          <w:rFonts w:ascii="Calibri" w:hAnsi="Calibri" w:cs="Segoe UI"/>
          <w:sz w:val="24"/>
          <w:szCs w:val="24"/>
        </w:rPr>
        <w:t xml:space="preserve">; lo anterior como parte de los trabajos necesarios para llevar a cabo la capacitación del personal en el uso de la herramienta informática para trabajar el Modelo de Gestión </w:t>
      </w:r>
      <w:r w:rsidR="00D5608A">
        <w:rPr>
          <w:rFonts w:ascii="Calibri" w:hAnsi="Calibri" w:cs="Segoe UI"/>
          <w:sz w:val="24"/>
          <w:szCs w:val="24"/>
        </w:rPr>
        <w:t>Transitorio</w:t>
      </w:r>
      <w:r w:rsidR="00B839F9" w:rsidRPr="00B839F9">
        <w:rPr>
          <w:rFonts w:ascii="Calibri" w:hAnsi="Calibri" w:cs="Segoe UI"/>
          <w:sz w:val="24"/>
          <w:szCs w:val="24"/>
        </w:rPr>
        <w:t>, donde la capacitación está programada para e</w:t>
      </w:r>
      <w:r w:rsidR="00D5608A">
        <w:rPr>
          <w:rFonts w:ascii="Calibri" w:hAnsi="Calibri" w:cs="Segoe UI"/>
          <w:sz w:val="24"/>
          <w:szCs w:val="24"/>
        </w:rPr>
        <w:t>fectuarse durante la semana del 3 al 11 de mayo</w:t>
      </w:r>
      <w:r w:rsidR="00B839F9" w:rsidRPr="00B839F9">
        <w:rPr>
          <w:rFonts w:ascii="Calibri" w:hAnsi="Calibri" w:cs="Segoe UI"/>
          <w:sz w:val="24"/>
          <w:szCs w:val="24"/>
        </w:rPr>
        <w:t xml:space="preserve"> del presente año.</w:t>
      </w:r>
    </w:p>
    <w:p w14:paraId="03A037EE" w14:textId="77777777" w:rsidR="00B839F9" w:rsidRPr="00B839F9" w:rsidRDefault="00B839F9" w:rsidP="00D868D7">
      <w:pPr>
        <w:pStyle w:val="Sinespaciado"/>
        <w:jc w:val="both"/>
        <w:rPr>
          <w:rFonts w:ascii="Calibri" w:hAnsi="Calibri" w:cs="Segoe UI"/>
          <w:sz w:val="24"/>
          <w:szCs w:val="24"/>
        </w:rPr>
      </w:pPr>
    </w:p>
    <w:p w14:paraId="348E460E" w14:textId="1F0CAE98" w:rsidR="00B839F9" w:rsidRPr="00B839F9" w:rsidRDefault="00B839F9" w:rsidP="00D868D7">
      <w:pPr>
        <w:pStyle w:val="Sinespaciado"/>
        <w:jc w:val="both"/>
        <w:rPr>
          <w:rFonts w:ascii="Calibri" w:hAnsi="Calibri" w:cs="Segoe UI"/>
          <w:sz w:val="24"/>
          <w:szCs w:val="24"/>
        </w:rPr>
      </w:pPr>
      <w:r w:rsidRPr="00B839F9">
        <w:rPr>
          <w:rFonts w:ascii="Calibri" w:hAnsi="Calibri" w:cs="Segoe UI"/>
          <w:sz w:val="24"/>
          <w:szCs w:val="24"/>
        </w:rPr>
        <w:t xml:space="preserve">Se extiende la presente como constancia del cumplimiento de esta actividad, en </w:t>
      </w:r>
      <w:r w:rsidR="00D5608A">
        <w:rPr>
          <w:rFonts w:ascii="Calibri" w:hAnsi="Calibri" w:cs="Segoe UI"/>
          <w:sz w:val="24"/>
          <w:szCs w:val="24"/>
        </w:rPr>
        <w:t>Chilpancingo, Guerrero</w:t>
      </w:r>
      <w:r w:rsidRPr="00B839F9">
        <w:rPr>
          <w:rFonts w:ascii="Calibri" w:hAnsi="Calibri" w:cs="Segoe UI"/>
          <w:sz w:val="24"/>
          <w:szCs w:val="24"/>
        </w:rPr>
        <w:t xml:space="preserve">; el día </w:t>
      </w:r>
      <w:r w:rsidR="00F17673" w:rsidRPr="00F17673">
        <w:rPr>
          <w:rFonts w:ascii="Calibri" w:hAnsi="Calibri" w:cs="Segoe UI"/>
          <w:sz w:val="24"/>
          <w:szCs w:val="24"/>
        </w:rPr>
        <w:t>27</w:t>
      </w:r>
      <w:r w:rsidR="00F17673">
        <w:rPr>
          <w:rFonts w:ascii="Calibri" w:hAnsi="Calibri" w:cs="Segoe UI"/>
          <w:sz w:val="24"/>
          <w:szCs w:val="24"/>
        </w:rPr>
        <w:t xml:space="preserve"> de Abril</w:t>
      </w:r>
      <w:r w:rsidR="00D5608A">
        <w:rPr>
          <w:rFonts w:ascii="Calibri" w:hAnsi="Calibri" w:cs="Segoe UI"/>
          <w:sz w:val="24"/>
          <w:szCs w:val="24"/>
        </w:rPr>
        <w:t xml:space="preserve"> del 2016.</w:t>
      </w:r>
    </w:p>
    <w:p w14:paraId="0F3EC553" w14:textId="77777777" w:rsidR="00CE52D7" w:rsidRPr="00B839F9" w:rsidRDefault="00CE52D7" w:rsidP="001563AB">
      <w:pPr>
        <w:pStyle w:val="Sinespaciado"/>
        <w:jc w:val="both"/>
        <w:rPr>
          <w:rFonts w:ascii="Calibri" w:hAnsi="Calibri"/>
          <w:sz w:val="24"/>
          <w:szCs w:val="24"/>
        </w:rPr>
      </w:pPr>
    </w:p>
    <w:p w14:paraId="7624CB54" w14:textId="77777777" w:rsidR="005B15FD" w:rsidRPr="00B839F9" w:rsidRDefault="005B15FD" w:rsidP="001563AB">
      <w:pPr>
        <w:pStyle w:val="Sinespaciado"/>
        <w:jc w:val="both"/>
        <w:rPr>
          <w:rFonts w:ascii="Calibri" w:hAnsi="Calibri"/>
          <w:sz w:val="24"/>
          <w:szCs w:val="24"/>
        </w:rPr>
      </w:pPr>
    </w:p>
    <w:p w14:paraId="7C994EF9" w14:textId="77777777" w:rsidR="00CE52D7" w:rsidRPr="00B839F9" w:rsidRDefault="00CE52D7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0660FA10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165F7BA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4FDD7216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7D6E95D2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02FEC24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1676A5B5" w14:textId="77777777" w:rsidR="00B839F9" w:rsidRP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60BFD383" w14:textId="77777777" w:rsidR="00B839F9" w:rsidRDefault="00B839F9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2077913B" w14:textId="77777777" w:rsidR="00CE52D7" w:rsidRPr="00B839F9" w:rsidRDefault="00CE52D7" w:rsidP="009D28B6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4590"/>
      </w:tblGrid>
      <w:tr w:rsidR="003A7840" w:rsidRPr="00B839F9" w14:paraId="275306E0" w14:textId="77777777" w:rsidTr="00CE52D7">
        <w:tc>
          <w:tcPr>
            <w:tcW w:w="2548" w:type="pct"/>
          </w:tcPr>
          <w:p w14:paraId="260B5821" w14:textId="77777777" w:rsidR="003A7840" w:rsidRPr="00B839F9" w:rsidRDefault="00CE52D7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Por LA PROCURADURIA</w:t>
            </w:r>
          </w:p>
          <w:p w14:paraId="1C40BFB5" w14:textId="77777777" w:rsidR="00633AAD" w:rsidRPr="00B839F9" w:rsidRDefault="00633AAD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7B0754CC" w14:textId="77777777" w:rsidR="00CE52D7" w:rsidRPr="00B839F9" w:rsidRDefault="00CE52D7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634D1257" w14:textId="77777777" w:rsidR="003A7840" w:rsidRPr="00B839F9" w:rsidRDefault="003A7840" w:rsidP="00E731B1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591A146D" w14:textId="38533C2B" w:rsidR="007C3DF5" w:rsidRDefault="00F17673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Lic. </w:t>
            </w:r>
            <w:r w:rsidR="007C3DF5" w:rsidRPr="00D610DE">
              <w:rPr>
                <w:rFonts w:ascii="Arial" w:hAnsi="Arial" w:cs="Arial"/>
              </w:rPr>
              <w:t>José Juan Monroy García</w:t>
            </w:r>
            <w:r w:rsidR="007C3DF5" w:rsidRPr="00B839F9">
              <w:rPr>
                <w:rFonts w:ascii="Calibri" w:hAnsi="Calibri" w:cs="Segoe UI"/>
                <w:b/>
                <w:sz w:val="24"/>
                <w:szCs w:val="24"/>
              </w:rPr>
              <w:t xml:space="preserve"> </w:t>
            </w:r>
          </w:p>
          <w:p w14:paraId="17F5F53A" w14:textId="588E839F" w:rsidR="00B77AC0" w:rsidRPr="00B839F9" w:rsidRDefault="00F72312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 w:rsidRPr="00B839F9">
              <w:rPr>
                <w:rFonts w:ascii="Calibri" w:hAnsi="Calibri" w:cs="Segoe UI"/>
                <w:b/>
                <w:sz w:val="24"/>
                <w:szCs w:val="24"/>
              </w:rPr>
              <w:t>Delegado Estatal</w:t>
            </w:r>
          </w:p>
          <w:p w14:paraId="51CD6432" w14:textId="64E03831" w:rsidR="00CE52D7" w:rsidRPr="00B839F9" w:rsidRDefault="00361D1C" w:rsidP="00CE52D7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 xml:space="preserve">Delegación </w:t>
            </w:r>
            <w:r w:rsidR="007C3DF5">
              <w:rPr>
                <w:rFonts w:ascii="Calibri" w:hAnsi="Calibri" w:cs="Segoe UI"/>
                <w:sz w:val="24"/>
                <w:szCs w:val="24"/>
              </w:rPr>
              <w:t>Guerrero</w:t>
            </w:r>
          </w:p>
          <w:p w14:paraId="4F89BFDC" w14:textId="77777777" w:rsidR="00B77AC0" w:rsidRPr="00B839F9" w:rsidRDefault="00B77AC0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</w:p>
          <w:p w14:paraId="729231C3" w14:textId="77777777" w:rsidR="003A7840" w:rsidRPr="00B839F9" w:rsidRDefault="003A7840" w:rsidP="00B77AC0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</w:tc>
        <w:tc>
          <w:tcPr>
            <w:tcW w:w="2452" w:type="pct"/>
          </w:tcPr>
          <w:p w14:paraId="6D8BF3AF" w14:textId="77777777" w:rsidR="003A7840" w:rsidRPr="00B839F9" w:rsidRDefault="00FF590F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Por EL PROVEEDOR</w:t>
            </w:r>
          </w:p>
          <w:p w14:paraId="2D106581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6912D31D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1239E3CB" w14:textId="77777777" w:rsidR="00633AAD" w:rsidRPr="00F00202" w:rsidRDefault="00633AAD" w:rsidP="00E731B1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</w:p>
          <w:p w14:paraId="51E49792" w14:textId="656CA1CF" w:rsidR="00CE52D7" w:rsidRPr="00F00202" w:rsidRDefault="007C3DF5" w:rsidP="00CE52D7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>
              <w:rPr>
                <w:rFonts w:ascii="Calibri" w:hAnsi="Calibri" w:cs="Segoe UI"/>
                <w:sz w:val="24"/>
                <w:szCs w:val="24"/>
              </w:rPr>
              <w:t>Ing. Alberto M. Valdez Ray</w:t>
            </w:r>
            <w:r w:rsidR="00F17673">
              <w:rPr>
                <w:rFonts w:ascii="Calibri" w:hAnsi="Calibri" w:cs="Segoe UI"/>
                <w:sz w:val="24"/>
                <w:szCs w:val="24"/>
              </w:rPr>
              <w:t>g</w:t>
            </w:r>
            <w:r>
              <w:rPr>
                <w:rFonts w:ascii="Calibri" w:hAnsi="Calibri" w:cs="Segoe UI"/>
                <w:sz w:val="24"/>
                <w:szCs w:val="24"/>
              </w:rPr>
              <w:t>oza</w:t>
            </w:r>
          </w:p>
          <w:p w14:paraId="4997980D" w14:textId="1F35939D" w:rsidR="00CE52D7" w:rsidRPr="00F00202" w:rsidRDefault="00F00202" w:rsidP="00CE52D7">
            <w:pPr>
              <w:jc w:val="center"/>
              <w:rPr>
                <w:rFonts w:ascii="Calibri" w:hAnsi="Calibri" w:cs="Segoe UI"/>
                <w:b/>
                <w:sz w:val="24"/>
                <w:szCs w:val="24"/>
              </w:rPr>
            </w:pPr>
            <w:r>
              <w:rPr>
                <w:rFonts w:ascii="Calibri" w:hAnsi="Calibri" w:cs="Segoe UI"/>
                <w:b/>
                <w:sz w:val="24"/>
                <w:szCs w:val="24"/>
              </w:rPr>
              <w:t xml:space="preserve">Responsable </w:t>
            </w:r>
            <w:r w:rsidR="00F17673">
              <w:rPr>
                <w:rFonts w:ascii="Calibri" w:hAnsi="Calibri" w:cs="Segoe UI"/>
                <w:b/>
                <w:sz w:val="24"/>
                <w:szCs w:val="24"/>
              </w:rPr>
              <w:t>en Guerrero</w:t>
            </w:r>
          </w:p>
          <w:p w14:paraId="3D59565D" w14:textId="7DFB7DA2" w:rsidR="00B839F9" w:rsidRPr="00F00202" w:rsidRDefault="00CE52D7" w:rsidP="00F00202">
            <w:pPr>
              <w:jc w:val="center"/>
              <w:rPr>
                <w:rFonts w:ascii="Calibri" w:hAnsi="Calibri" w:cs="Segoe UI"/>
                <w:sz w:val="24"/>
                <w:szCs w:val="24"/>
              </w:rPr>
            </w:pPr>
            <w:r w:rsidRPr="00B839F9">
              <w:rPr>
                <w:rFonts w:ascii="Calibri" w:hAnsi="Calibri" w:cs="Segoe UI"/>
                <w:sz w:val="24"/>
                <w:szCs w:val="24"/>
              </w:rPr>
              <w:t>Bufete de Tecnol</w:t>
            </w:r>
            <w:r w:rsidR="00F00202">
              <w:rPr>
                <w:rFonts w:ascii="Calibri" w:hAnsi="Calibri" w:cs="Segoe UI"/>
                <w:sz w:val="24"/>
                <w:szCs w:val="24"/>
              </w:rPr>
              <w:t>ogía y Soluciones Avanzadas S.C</w:t>
            </w:r>
          </w:p>
        </w:tc>
      </w:tr>
    </w:tbl>
    <w:p w14:paraId="340FABDC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5840E213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4C2DD3DC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15257A6A" w14:textId="77777777" w:rsidR="00F00202" w:rsidRDefault="00F00202" w:rsidP="00F00202">
      <w:pPr>
        <w:spacing w:after="0" w:line="240" w:lineRule="auto"/>
        <w:rPr>
          <w:sz w:val="24"/>
          <w:szCs w:val="24"/>
        </w:rPr>
      </w:pPr>
    </w:p>
    <w:p w14:paraId="7CF26E92" w14:textId="0981A9D4" w:rsidR="00F00202" w:rsidRDefault="00CE1587" w:rsidP="00CE1587">
      <w:pPr>
        <w:pStyle w:val="Ttulo1"/>
      </w:pPr>
      <w:r>
        <w:lastRenderedPageBreak/>
        <w:t>Anexo 1 Relación de equipos donde se realizó la instalación del  sistema informático.</w:t>
      </w:r>
    </w:p>
    <w:p w14:paraId="259D8034" w14:textId="77777777" w:rsidR="00702C99" w:rsidRPr="005A36CB" w:rsidRDefault="00702C99" w:rsidP="00702C99">
      <w:pPr>
        <w:rPr>
          <w:sz w:val="4"/>
        </w:rPr>
      </w:pPr>
    </w:p>
    <w:p w14:paraId="219FC628" w14:textId="059BDFF9" w:rsidR="00CE1587" w:rsidRDefault="00702C99" w:rsidP="007C3DF5">
      <w:pPr>
        <w:pStyle w:val="Ttulo2"/>
      </w:pPr>
      <w:r>
        <w:t>Aula Chilpancingo</w:t>
      </w:r>
    </w:p>
    <w:p w14:paraId="47EC0BA7" w14:textId="77777777" w:rsidR="007C3DF5" w:rsidRPr="005A36CB" w:rsidRDefault="007C3DF5" w:rsidP="007C3DF5">
      <w:pPr>
        <w:rPr>
          <w:sz w:val="2"/>
        </w:rPr>
      </w:pP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0"/>
        <w:gridCol w:w="3100"/>
        <w:gridCol w:w="1020"/>
        <w:gridCol w:w="3160"/>
      </w:tblGrid>
      <w:tr w:rsidR="009E1697" w:rsidRPr="009E1697" w14:paraId="76D83A2D" w14:textId="77777777" w:rsidTr="009E1697">
        <w:trPr>
          <w:trHeight w:val="330"/>
        </w:trPr>
        <w:tc>
          <w:tcPr>
            <w:tcW w:w="106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188D3BE0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Número</w:t>
            </w:r>
          </w:p>
        </w:tc>
        <w:tc>
          <w:tcPr>
            <w:tcW w:w="3100" w:type="dxa"/>
            <w:tcBorders>
              <w:top w:val="single" w:sz="8" w:space="0" w:color="9BC2E6"/>
              <w:left w:val="nil"/>
              <w:bottom w:val="single" w:sz="8" w:space="0" w:color="9BC2E6"/>
              <w:right w:val="nil"/>
            </w:tcBorders>
            <w:shd w:val="clear" w:color="auto" w:fill="auto"/>
            <w:vAlign w:val="center"/>
            <w:hideMark/>
          </w:tcPr>
          <w:p w14:paraId="7D3EBDF6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Número de serie del equipo</w:t>
            </w:r>
          </w:p>
        </w:tc>
        <w:tc>
          <w:tcPr>
            <w:tcW w:w="102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6B0A9268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Número</w:t>
            </w:r>
          </w:p>
        </w:tc>
        <w:tc>
          <w:tcPr>
            <w:tcW w:w="3160" w:type="dxa"/>
            <w:tcBorders>
              <w:top w:val="single" w:sz="8" w:space="0" w:color="9BC2E6"/>
              <w:left w:val="nil"/>
              <w:bottom w:val="nil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0F9F8C5B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Número de serie del equipo</w:t>
            </w:r>
          </w:p>
        </w:tc>
      </w:tr>
      <w:tr w:rsidR="009E1697" w:rsidRPr="009E1697" w14:paraId="237C025F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603CB640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1428904A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5CG51347T7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33434F5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14</w:t>
            </w:r>
          </w:p>
        </w:tc>
        <w:tc>
          <w:tcPr>
            <w:tcW w:w="316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34E07F2F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5CG5181DD9</w:t>
            </w:r>
          </w:p>
        </w:tc>
      </w:tr>
      <w:tr w:rsidR="009E1697" w:rsidRPr="009E1697" w14:paraId="2A7BC9A3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6773B73F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D49E9B1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5CG5161DCQ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797042A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15</w:t>
            </w:r>
          </w:p>
        </w:tc>
        <w:tc>
          <w:tcPr>
            <w:tcW w:w="31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7787A96E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5CG5181DHM</w:t>
            </w:r>
          </w:p>
        </w:tc>
      </w:tr>
      <w:tr w:rsidR="009E1697" w:rsidRPr="009E1697" w14:paraId="192507A3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69F3429C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44F570E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5CG51812LW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2CB7BA4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16</w:t>
            </w:r>
          </w:p>
        </w:tc>
        <w:tc>
          <w:tcPr>
            <w:tcW w:w="31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33532E53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5CG5181DHQ</w:t>
            </w:r>
          </w:p>
        </w:tc>
      </w:tr>
      <w:tr w:rsidR="009E1697" w:rsidRPr="009E1697" w14:paraId="25FE23B0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3CA2B7C1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49704227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5CG51812N7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2A6A03E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17</w:t>
            </w:r>
          </w:p>
        </w:tc>
        <w:tc>
          <w:tcPr>
            <w:tcW w:w="31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7D5E4EB3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5CG5181DHR</w:t>
            </w:r>
          </w:p>
        </w:tc>
      </w:tr>
      <w:tr w:rsidR="009E1697" w:rsidRPr="009E1697" w14:paraId="4A1AF4EB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1ABD7C1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880BF29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5CG51812NL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5E325CA3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18</w:t>
            </w:r>
          </w:p>
        </w:tc>
        <w:tc>
          <w:tcPr>
            <w:tcW w:w="31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4D18C3C3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5CG5181DJK</w:t>
            </w:r>
          </w:p>
        </w:tc>
      </w:tr>
      <w:tr w:rsidR="009E1697" w:rsidRPr="009E1697" w14:paraId="2A11470F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732B67D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F8F8817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5CG51812NV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064BA6B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19</w:t>
            </w:r>
          </w:p>
        </w:tc>
        <w:tc>
          <w:tcPr>
            <w:tcW w:w="31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3350491A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5CG5181DL2</w:t>
            </w:r>
          </w:p>
        </w:tc>
      </w:tr>
      <w:tr w:rsidR="009E1697" w:rsidRPr="009E1697" w14:paraId="3C14AEA0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73DFDFCA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6E994450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5CG5181D8M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8DE9BB0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20</w:t>
            </w:r>
          </w:p>
        </w:tc>
        <w:tc>
          <w:tcPr>
            <w:tcW w:w="31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5F0774B2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5CG5181DL4</w:t>
            </w:r>
          </w:p>
        </w:tc>
      </w:tr>
      <w:tr w:rsidR="009E1697" w:rsidRPr="009E1697" w14:paraId="5E142678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07C016D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304F6926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5CG5181D8N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1819345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21</w:t>
            </w:r>
          </w:p>
        </w:tc>
        <w:tc>
          <w:tcPr>
            <w:tcW w:w="31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12FBB9D0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5CG5362W88</w:t>
            </w:r>
          </w:p>
        </w:tc>
      </w:tr>
      <w:tr w:rsidR="009E1697" w:rsidRPr="009E1697" w14:paraId="6FBA253F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4614B57E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3836BD5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5CG5181D8W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3CC81AE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22</w:t>
            </w:r>
          </w:p>
        </w:tc>
        <w:tc>
          <w:tcPr>
            <w:tcW w:w="31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5797A5A2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5CG5364YFS</w:t>
            </w:r>
          </w:p>
        </w:tc>
      </w:tr>
      <w:tr w:rsidR="009E1697" w:rsidRPr="009E1697" w14:paraId="3C78D8A7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5333C338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03D51363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5CG5181D9Q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05580DA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23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B3CF467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5CG5364YPP</w:t>
            </w:r>
          </w:p>
        </w:tc>
      </w:tr>
      <w:tr w:rsidR="009E1697" w:rsidRPr="009E1697" w14:paraId="6A00AC21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31C5238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708ACFC2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5CG5181D9X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18514622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24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0FC4C1D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5CG5364ZJS</w:t>
            </w:r>
          </w:p>
        </w:tc>
      </w:tr>
      <w:tr w:rsidR="009E1697" w:rsidRPr="009E1697" w14:paraId="76F802A8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36D865A7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12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6C079AF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5CG5181DCH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4108E306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25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0CFA3CB7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5CG5364ZX9</w:t>
            </w:r>
          </w:p>
        </w:tc>
      </w:tr>
      <w:tr w:rsidR="009E1697" w:rsidRPr="009E1697" w14:paraId="5C04D3AD" w14:textId="77777777" w:rsidTr="009E1697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center"/>
            <w:hideMark/>
          </w:tcPr>
          <w:p w14:paraId="238AE07E" w14:textId="77777777" w:rsidR="009E1697" w:rsidRPr="009E1697" w:rsidRDefault="009E1697" w:rsidP="009E169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13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8" w:space="0" w:color="9BC2E6"/>
              <w:right w:val="nil"/>
            </w:tcBorders>
            <w:shd w:val="clear" w:color="auto" w:fill="auto"/>
            <w:noWrap/>
            <w:vAlign w:val="center"/>
            <w:hideMark/>
          </w:tcPr>
          <w:p w14:paraId="21D3062F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5CG5181DD3</w:t>
            </w:r>
          </w:p>
        </w:tc>
        <w:tc>
          <w:tcPr>
            <w:tcW w:w="102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37A10CB2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16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3870D76A" w14:textId="77777777" w:rsidR="009E1697" w:rsidRPr="009E1697" w:rsidRDefault="009E1697" w:rsidP="009E169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9E1697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14:paraId="4E5CCD75" w14:textId="77777777" w:rsidR="00CE1587" w:rsidRDefault="00CE1587" w:rsidP="00CE1587">
      <w:bookmarkStart w:id="0" w:name="_GoBack"/>
      <w:bookmarkEnd w:id="0"/>
    </w:p>
    <w:p w14:paraId="2CB286D2" w14:textId="3DBB9621" w:rsidR="00F17673" w:rsidRDefault="005A36CB" w:rsidP="00F17673">
      <w:pPr>
        <w:pStyle w:val="Ttulo2"/>
      </w:pPr>
      <w:r>
        <w:t>Aula</w:t>
      </w:r>
      <w:r w:rsidR="00F17673">
        <w:t xml:space="preserve"> Acapulco</w:t>
      </w:r>
    </w:p>
    <w:p w14:paraId="57EAED8B" w14:textId="77777777" w:rsidR="00F17673" w:rsidRPr="005A36CB" w:rsidRDefault="00F17673" w:rsidP="00F17673">
      <w:pPr>
        <w:rPr>
          <w:sz w:val="8"/>
        </w:rPr>
      </w:pPr>
    </w:p>
    <w:tbl>
      <w:tblPr>
        <w:tblW w:w="5780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4580"/>
      </w:tblGrid>
      <w:tr w:rsidR="005A36CB" w:rsidRPr="005A36CB" w14:paraId="72804681" w14:textId="77777777" w:rsidTr="005A36CB">
        <w:trPr>
          <w:trHeight w:val="330"/>
        </w:trPr>
        <w:tc>
          <w:tcPr>
            <w:tcW w:w="1200" w:type="dxa"/>
            <w:tcBorders>
              <w:top w:val="single" w:sz="8" w:space="0" w:color="9BC2E6"/>
              <w:left w:val="single" w:sz="8" w:space="0" w:color="9BC2E6"/>
              <w:bottom w:val="nil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07F85669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Número</w:t>
            </w:r>
          </w:p>
        </w:tc>
        <w:tc>
          <w:tcPr>
            <w:tcW w:w="4580" w:type="dxa"/>
            <w:tcBorders>
              <w:top w:val="single" w:sz="8" w:space="0" w:color="9BC2E6"/>
              <w:left w:val="nil"/>
              <w:bottom w:val="nil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D17BB7B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Número de serie del equipo</w:t>
            </w:r>
          </w:p>
        </w:tc>
      </w:tr>
      <w:tr w:rsidR="005A36CB" w:rsidRPr="005A36CB" w14:paraId="5D256983" w14:textId="77777777" w:rsidTr="005A36CB">
        <w:trPr>
          <w:trHeight w:val="315"/>
        </w:trPr>
        <w:tc>
          <w:tcPr>
            <w:tcW w:w="120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3E1DC77D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</w:t>
            </w:r>
          </w:p>
        </w:tc>
        <w:tc>
          <w:tcPr>
            <w:tcW w:w="4580" w:type="dxa"/>
            <w:tcBorders>
              <w:top w:val="single" w:sz="8" w:space="0" w:color="9BC2E6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177ACD5F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5CG5362W8H</w:t>
            </w:r>
          </w:p>
        </w:tc>
      </w:tr>
      <w:tr w:rsidR="005A36CB" w:rsidRPr="005A36CB" w14:paraId="5D8B21F6" w14:textId="77777777" w:rsidTr="005A36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7F4DA2AC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2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6066A9C0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5CG5362VY2</w:t>
            </w:r>
          </w:p>
        </w:tc>
      </w:tr>
      <w:tr w:rsidR="005A36CB" w:rsidRPr="005A36CB" w14:paraId="2ECA1A09" w14:textId="77777777" w:rsidTr="005A36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3DA2B3D5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25D9C793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5CG5364Z9K</w:t>
            </w:r>
          </w:p>
        </w:tc>
      </w:tr>
      <w:tr w:rsidR="005A36CB" w:rsidRPr="005A36CB" w14:paraId="705A6789" w14:textId="77777777" w:rsidTr="005A36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9BC2E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597A0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4</w:t>
            </w:r>
          </w:p>
        </w:tc>
        <w:tc>
          <w:tcPr>
            <w:tcW w:w="458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60A68C1F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5CG5364ZBG</w:t>
            </w:r>
          </w:p>
        </w:tc>
      </w:tr>
      <w:tr w:rsidR="005A36CB" w:rsidRPr="005A36CB" w14:paraId="110754C5" w14:textId="77777777" w:rsidTr="005A36CB">
        <w:trPr>
          <w:trHeight w:val="315"/>
        </w:trPr>
        <w:tc>
          <w:tcPr>
            <w:tcW w:w="120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742F0A6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3E16F023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5CG5362W34</w:t>
            </w:r>
          </w:p>
        </w:tc>
      </w:tr>
      <w:tr w:rsidR="005A36CB" w:rsidRPr="005A36CB" w14:paraId="6AA1A76C" w14:textId="77777777" w:rsidTr="005A36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614BCC2D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6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33E4C68C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5CG5365121</w:t>
            </w:r>
          </w:p>
        </w:tc>
      </w:tr>
      <w:tr w:rsidR="005A36CB" w:rsidRPr="005A36CB" w14:paraId="7878D749" w14:textId="77777777" w:rsidTr="005A36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56A0CDC6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72030236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5CG5362WC4</w:t>
            </w:r>
          </w:p>
        </w:tc>
      </w:tr>
      <w:tr w:rsidR="005A36CB" w:rsidRPr="005A36CB" w14:paraId="4D512360" w14:textId="77777777" w:rsidTr="005A36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4EE80D85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8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375B86DA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5CG53652QS</w:t>
            </w:r>
          </w:p>
        </w:tc>
      </w:tr>
      <w:tr w:rsidR="005A36CB" w:rsidRPr="005A36CB" w14:paraId="13BFC867" w14:textId="77777777" w:rsidTr="005A36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3CC6ECF9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9</w:t>
            </w:r>
          </w:p>
        </w:tc>
        <w:tc>
          <w:tcPr>
            <w:tcW w:w="4580" w:type="dxa"/>
            <w:tcBorders>
              <w:top w:val="nil"/>
              <w:left w:val="nil"/>
              <w:bottom w:val="nil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367DD0CB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5CG5362VZY</w:t>
            </w:r>
          </w:p>
        </w:tc>
      </w:tr>
      <w:tr w:rsidR="005A36CB" w:rsidRPr="005A36CB" w14:paraId="65F473D7" w14:textId="77777777" w:rsidTr="005A36CB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9BC2E6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77C3ED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10</w:t>
            </w:r>
          </w:p>
        </w:tc>
        <w:tc>
          <w:tcPr>
            <w:tcW w:w="458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70A430E3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5CG5362W78</w:t>
            </w:r>
          </w:p>
        </w:tc>
      </w:tr>
      <w:tr w:rsidR="005A36CB" w:rsidRPr="005A36CB" w14:paraId="57C2A8DC" w14:textId="77777777" w:rsidTr="005A36CB">
        <w:trPr>
          <w:trHeight w:val="315"/>
        </w:trPr>
        <w:tc>
          <w:tcPr>
            <w:tcW w:w="1200" w:type="dxa"/>
            <w:tcBorders>
              <w:top w:val="single" w:sz="8" w:space="0" w:color="9BC2E6"/>
              <w:left w:val="single" w:sz="8" w:space="0" w:color="9BC2E6"/>
              <w:bottom w:val="single" w:sz="8" w:space="0" w:color="9BC2E6"/>
              <w:right w:val="single" w:sz="8" w:space="0" w:color="9BC2E6"/>
            </w:tcBorders>
            <w:shd w:val="clear" w:color="auto" w:fill="auto"/>
            <w:vAlign w:val="center"/>
            <w:hideMark/>
          </w:tcPr>
          <w:p w14:paraId="6E0CF737" w14:textId="77777777" w:rsidR="005A36CB" w:rsidRPr="005A36CB" w:rsidRDefault="005A36CB" w:rsidP="005A36C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11</w:t>
            </w:r>
          </w:p>
        </w:tc>
        <w:tc>
          <w:tcPr>
            <w:tcW w:w="4580" w:type="dxa"/>
            <w:tcBorders>
              <w:top w:val="nil"/>
              <w:left w:val="nil"/>
              <w:bottom w:val="single" w:sz="8" w:space="0" w:color="9BC2E6"/>
              <w:right w:val="single" w:sz="8" w:space="0" w:color="9BC2E6"/>
            </w:tcBorders>
            <w:shd w:val="clear" w:color="auto" w:fill="auto"/>
            <w:noWrap/>
            <w:vAlign w:val="bottom"/>
            <w:hideMark/>
          </w:tcPr>
          <w:p w14:paraId="0274D958" w14:textId="77777777" w:rsidR="005A36CB" w:rsidRPr="005A36CB" w:rsidRDefault="005A36CB" w:rsidP="005A36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5A36CB">
              <w:rPr>
                <w:rFonts w:ascii="Calibri" w:eastAsia="Times New Roman" w:hAnsi="Calibri" w:cs="Times New Roman"/>
                <w:color w:val="000000"/>
                <w:lang w:eastAsia="es-MX"/>
              </w:rPr>
              <w:t>5CG5364YGR</w:t>
            </w:r>
          </w:p>
        </w:tc>
      </w:tr>
    </w:tbl>
    <w:p w14:paraId="45D86EE6" w14:textId="77777777" w:rsidR="00F17673" w:rsidRPr="00F17673" w:rsidRDefault="00F17673" w:rsidP="00F17673"/>
    <w:sectPr w:rsidR="00F17673" w:rsidRPr="00F17673" w:rsidSect="00253221">
      <w:headerReference w:type="default" r:id="rId12"/>
      <w:pgSz w:w="12240" w:h="15840"/>
      <w:pgMar w:top="2098" w:right="1440" w:bottom="44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C97010" w14:textId="77777777" w:rsidR="001854EB" w:rsidRDefault="001854EB" w:rsidP="003F65B3">
      <w:pPr>
        <w:spacing w:after="0" w:line="240" w:lineRule="auto"/>
      </w:pPr>
      <w:r>
        <w:separator/>
      </w:r>
    </w:p>
  </w:endnote>
  <w:endnote w:type="continuationSeparator" w:id="0">
    <w:p w14:paraId="47200DAF" w14:textId="77777777" w:rsidR="001854EB" w:rsidRDefault="001854EB" w:rsidP="003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40BEDA" w14:textId="77777777" w:rsidR="001854EB" w:rsidRDefault="001854EB" w:rsidP="003F65B3">
      <w:pPr>
        <w:spacing w:after="0" w:line="240" w:lineRule="auto"/>
      </w:pPr>
      <w:r>
        <w:separator/>
      </w:r>
    </w:p>
  </w:footnote>
  <w:footnote w:type="continuationSeparator" w:id="0">
    <w:p w14:paraId="4AD7CE57" w14:textId="77777777" w:rsidR="001854EB" w:rsidRDefault="001854EB" w:rsidP="003F6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99" w:type="dxa"/>
      <w:tblInd w:w="-719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60"/>
      <w:gridCol w:w="9139"/>
    </w:tblGrid>
    <w:tr w:rsidR="00431AE7" w14:paraId="6892C815" w14:textId="77777777" w:rsidTr="006204D3">
      <w:trPr>
        <w:trHeight w:val="107"/>
      </w:trPr>
      <w:tc>
        <w:tcPr>
          <w:tcW w:w="1560" w:type="dxa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1D43C14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Fecha de la clasificación</w:t>
          </w:r>
        </w:p>
      </w:tc>
      <w:tc>
        <w:tcPr>
          <w:tcW w:w="9139" w:type="dxa"/>
          <w:tcBorders>
            <w:top w:val="single" w:sz="8" w:space="0" w:color="000000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B5A76F7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9 de junio de 2015</w:t>
          </w:r>
        </w:p>
      </w:tc>
    </w:tr>
    <w:tr w:rsidR="00431AE7" w14:paraId="1BB34751" w14:textId="77777777" w:rsidTr="006204D3">
      <w:trPr>
        <w:trHeight w:val="90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212AC1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Administrativa: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0161B040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Unidad para la Implementación del Sistema Procesal Penal Acusatorio en la Procuraduría General de la Republica</w:t>
          </w:r>
        </w:p>
      </w:tc>
    </w:tr>
    <w:tr w:rsidR="00431AE7" w14:paraId="31AA8F7C" w14:textId="77777777" w:rsidTr="006204D3">
      <w:trPr>
        <w:trHeight w:val="6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7C3AD84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Clasificación: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8E4840C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Reservada</w:t>
          </w:r>
        </w:p>
      </w:tc>
    </w:tr>
    <w:tr w:rsidR="00431AE7" w14:paraId="3B6249C0" w14:textId="77777777" w:rsidTr="006204D3">
      <w:trPr>
        <w:trHeight w:val="604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74F5AB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Fundamento Legal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3A571F8D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3 fracción XII, 13, fracciones I, IV y V; 14 fracciones I y III, 15 de la Ley Federal de Transparencia y Acceso a la Información Pública Gubernamental., Lineamiento Décimo Octavo, fracción V, incisos c) y d), Décimo Noveno, fracciones I, inciso a), c) y II inciso a) y c), Vigésimo Cuarto fracciones II y III de los Lineamientos Generales para la clasificación y desclasificación de la información de las dependencias y entidades de la Administración Pública Gubernamental .</w:t>
          </w:r>
        </w:p>
      </w:tc>
    </w:tr>
    <w:tr w:rsidR="00431AE7" w14:paraId="2945D18C" w14:textId="77777777" w:rsidTr="006204D3">
      <w:trPr>
        <w:trHeight w:val="258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4B4294F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Ley específica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4EA19E61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Artículos 16 del Código Federal de Procedimientos Penales , 15 y 106 del Código Nacional de Procedimientos Penales, 3  fracción III, 12 y 13 fracción I, VI y X, 50, 51fracción I y II y 54 de la Ley de Seguridad Nacional;</w:t>
          </w:r>
        </w:p>
      </w:tc>
    </w:tr>
    <w:tr w:rsidR="00431AE7" w14:paraId="49CD300E" w14:textId="77777777" w:rsidTr="006204D3">
      <w:trPr>
        <w:trHeight w:val="93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7684A752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ES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Periodo de reserva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A13EF38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Hasta 12 años</w:t>
          </w:r>
        </w:p>
      </w:tc>
    </w:tr>
    <w:tr w:rsidR="00431AE7" w14:paraId="29295D0F" w14:textId="77777777" w:rsidTr="006204D3">
      <w:trPr>
        <w:trHeight w:val="979"/>
      </w:trPr>
      <w:tc>
        <w:tcPr>
          <w:tcW w:w="1560" w:type="dxa"/>
          <w:tcBorders>
            <w:top w:val="nil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5FB95476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Rúbrica del Titular de la Unidad Administrativa</w:t>
          </w:r>
        </w:p>
      </w:tc>
      <w:tc>
        <w:tcPr>
          <w:tcW w:w="9139" w:type="dxa"/>
          <w:tcBorders>
            <w:top w:val="nil"/>
            <w:left w:val="nil"/>
            <w:bottom w:val="single" w:sz="8" w:space="0" w:color="000000"/>
            <w:right w:val="single" w:sz="8" w:space="0" w:color="000000"/>
          </w:tcBorders>
          <w:tcMar>
            <w:top w:w="15" w:type="dxa"/>
            <w:left w:w="108" w:type="dxa"/>
            <w:bottom w:w="0" w:type="dxa"/>
            <w:right w:w="108" w:type="dxa"/>
          </w:tcMar>
          <w:hideMark/>
        </w:tcPr>
        <w:p w14:paraId="63EA28BA" w14:textId="77777777" w:rsidR="00431AE7" w:rsidRDefault="00431AE7" w:rsidP="00431AE7">
          <w:pPr>
            <w:spacing w:after="0" w:line="252" w:lineRule="auto"/>
            <w:jc w:val="both"/>
            <w:rPr>
              <w:rFonts w:ascii="Arial" w:hAnsi="Arial" w:cs="Arial"/>
              <w:sz w:val="36"/>
              <w:szCs w:val="36"/>
              <w:lang w:val="es-419"/>
            </w:rPr>
          </w:pPr>
          <w:r>
            <w:rPr>
              <w:rFonts w:ascii="Helvetica" w:hAnsi="Helvetica" w:cs="Helvetica"/>
              <w:color w:val="323E4F"/>
              <w:sz w:val="12"/>
              <w:szCs w:val="12"/>
            </w:rPr>
            <w:t>Documento clasificado de conformidad al dictamen de justificación para la contratación del  Servicio integral que incluye la adquisición de carácter perpetuo del licenciamiento de la herramienta informática denominada </w:t>
          </w:r>
          <w:hyperlink r:id="rId1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justici</w:t>
            </w:r>
          </w:hyperlink>
          <w:hyperlink r:id="rId2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@</w:t>
            </w:r>
          </w:hyperlink>
          <w:hyperlink r:id="rId3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.net</w:t>
            </w:r>
          </w:hyperlink>
          <w:hyperlink r:id="rId4" w:history="1">
            <w:r>
              <w:rPr>
                <w:rStyle w:val="Hipervnculo"/>
                <w:rFonts w:ascii="Helvetica" w:hAnsi="Helvetica" w:cs="Helvetica"/>
                <w:color w:val="323E4F"/>
                <w:sz w:val="12"/>
                <w:szCs w:val="12"/>
              </w:rPr>
              <w:t>, así como la configuración e implementación que cumpla con los requerimientos funcionales para atender el modelo de gestión transitorio y el modelo de gestión del sistema penal acusatorio y los procesos de aseguramientos, procedimientos internacionales, juicios de amparo, juicios y procedimientos administrativos de la PGR, acciones de inconstitucionalidad, controversias constitucionales y otros procedimientos constitucionales (juicios constitucionales) y procesos penales federales, así como su implementación en las 32 Delegaciones de la Procuraduría General de la República y Oficinas Centrales</w:t>
            </w:r>
          </w:hyperlink>
          <w:r>
            <w:rPr>
              <w:rFonts w:ascii="Helvetica" w:hAnsi="Helvetica" w:cs="Helvetica"/>
              <w:color w:val="323E4F"/>
              <w:sz w:val="12"/>
              <w:szCs w:val="12"/>
            </w:rPr>
            <w:t>, firmado por el Titular de la Unidad para la Implementación del Sistema Procesal Penal Acusatorio en la Procuraduría General de la Republica.</w:t>
          </w:r>
        </w:p>
      </w:tc>
    </w:tr>
  </w:tbl>
  <w:p w14:paraId="32E3DB19" w14:textId="77777777" w:rsidR="00431AE7" w:rsidRDefault="00431AE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upperLetter"/>
      <w:lvlText w:val="%1."/>
      <w:lvlJc w:val="left"/>
      <w:pPr>
        <w:tabs>
          <w:tab w:val="num" w:pos="1065"/>
        </w:tabs>
        <w:ind w:left="1065" w:hanging="360"/>
      </w:pPr>
    </w:lvl>
    <w:lvl w:ilvl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">
    <w:nsid w:val="0575136C"/>
    <w:multiLevelType w:val="hybridMultilevel"/>
    <w:tmpl w:val="8F66E8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546E71"/>
    <w:multiLevelType w:val="hybridMultilevel"/>
    <w:tmpl w:val="3ABA584E"/>
    <w:lvl w:ilvl="0" w:tplc="08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0327DEC"/>
    <w:multiLevelType w:val="hybridMultilevel"/>
    <w:tmpl w:val="21668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D546B0"/>
    <w:multiLevelType w:val="hybridMultilevel"/>
    <w:tmpl w:val="0B96DA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4B010C"/>
    <w:multiLevelType w:val="hybridMultilevel"/>
    <w:tmpl w:val="A0685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E6D1B38"/>
    <w:multiLevelType w:val="hybridMultilevel"/>
    <w:tmpl w:val="D2467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CD56CF"/>
    <w:multiLevelType w:val="hybridMultilevel"/>
    <w:tmpl w:val="2BE0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610EB2"/>
    <w:multiLevelType w:val="hybridMultilevel"/>
    <w:tmpl w:val="016CE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835ABF"/>
    <w:multiLevelType w:val="hybridMultilevel"/>
    <w:tmpl w:val="0FEAC054"/>
    <w:lvl w:ilvl="0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D7E0D61"/>
    <w:multiLevelType w:val="hybridMultilevel"/>
    <w:tmpl w:val="C7964004"/>
    <w:lvl w:ilvl="0" w:tplc="080A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EAA"/>
    <w:rsid w:val="000312FD"/>
    <w:rsid w:val="000417CD"/>
    <w:rsid w:val="0004240B"/>
    <w:rsid w:val="000447B1"/>
    <w:rsid w:val="00050758"/>
    <w:rsid w:val="00074596"/>
    <w:rsid w:val="00091EAA"/>
    <w:rsid w:val="00095172"/>
    <w:rsid w:val="00095331"/>
    <w:rsid w:val="000A0666"/>
    <w:rsid w:val="000A4753"/>
    <w:rsid w:val="000D1C3B"/>
    <w:rsid w:val="000F2D78"/>
    <w:rsid w:val="000F2E92"/>
    <w:rsid w:val="00134B27"/>
    <w:rsid w:val="00145ECF"/>
    <w:rsid w:val="001563AB"/>
    <w:rsid w:val="001654FF"/>
    <w:rsid w:val="0016747B"/>
    <w:rsid w:val="00171AD7"/>
    <w:rsid w:val="00172133"/>
    <w:rsid w:val="001854EB"/>
    <w:rsid w:val="001B15C0"/>
    <w:rsid w:val="001D13DF"/>
    <w:rsid w:val="001F1AAF"/>
    <w:rsid w:val="001F742A"/>
    <w:rsid w:val="0024787C"/>
    <w:rsid w:val="00253221"/>
    <w:rsid w:val="00292873"/>
    <w:rsid w:val="002D0BC1"/>
    <w:rsid w:val="002D5E67"/>
    <w:rsid w:val="002E4945"/>
    <w:rsid w:val="002F25C3"/>
    <w:rsid w:val="003072FB"/>
    <w:rsid w:val="003163EC"/>
    <w:rsid w:val="00346E5C"/>
    <w:rsid w:val="003470E6"/>
    <w:rsid w:val="00361D1C"/>
    <w:rsid w:val="0037435F"/>
    <w:rsid w:val="0039198C"/>
    <w:rsid w:val="003A0911"/>
    <w:rsid w:val="003A7840"/>
    <w:rsid w:val="003E12BD"/>
    <w:rsid w:val="003F49C2"/>
    <w:rsid w:val="003F65B3"/>
    <w:rsid w:val="00401563"/>
    <w:rsid w:val="00431AE7"/>
    <w:rsid w:val="00454C9C"/>
    <w:rsid w:val="00473A2B"/>
    <w:rsid w:val="004740F9"/>
    <w:rsid w:val="00486611"/>
    <w:rsid w:val="004970E1"/>
    <w:rsid w:val="004A05E6"/>
    <w:rsid w:val="004B18BA"/>
    <w:rsid w:val="004B5764"/>
    <w:rsid w:val="004C3EF0"/>
    <w:rsid w:val="004C6712"/>
    <w:rsid w:val="004D2270"/>
    <w:rsid w:val="004F001E"/>
    <w:rsid w:val="004F5E35"/>
    <w:rsid w:val="005140B7"/>
    <w:rsid w:val="00544248"/>
    <w:rsid w:val="00561BBD"/>
    <w:rsid w:val="00582BD3"/>
    <w:rsid w:val="005A36CB"/>
    <w:rsid w:val="005B15FD"/>
    <w:rsid w:val="005B3A78"/>
    <w:rsid w:val="005D3B84"/>
    <w:rsid w:val="005F02D1"/>
    <w:rsid w:val="005F0833"/>
    <w:rsid w:val="00613B3A"/>
    <w:rsid w:val="006204D3"/>
    <w:rsid w:val="00632AD3"/>
    <w:rsid w:val="00633AAD"/>
    <w:rsid w:val="0063485C"/>
    <w:rsid w:val="0064197E"/>
    <w:rsid w:val="0064282E"/>
    <w:rsid w:val="0066109B"/>
    <w:rsid w:val="00686F86"/>
    <w:rsid w:val="006B1165"/>
    <w:rsid w:val="006C27B6"/>
    <w:rsid w:val="006C5598"/>
    <w:rsid w:val="006E10FC"/>
    <w:rsid w:val="006F6360"/>
    <w:rsid w:val="00702C99"/>
    <w:rsid w:val="007115A6"/>
    <w:rsid w:val="00713BB5"/>
    <w:rsid w:val="00716C66"/>
    <w:rsid w:val="00717347"/>
    <w:rsid w:val="00724A25"/>
    <w:rsid w:val="007404FB"/>
    <w:rsid w:val="0075562E"/>
    <w:rsid w:val="00782A0E"/>
    <w:rsid w:val="007A1634"/>
    <w:rsid w:val="007C3DF5"/>
    <w:rsid w:val="007D61E1"/>
    <w:rsid w:val="007E3830"/>
    <w:rsid w:val="007E40F4"/>
    <w:rsid w:val="00805723"/>
    <w:rsid w:val="00811CB5"/>
    <w:rsid w:val="00823750"/>
    <w:rsid w:val="00850E43"/>
    <w:rsid w:val="008555D2"/>
    <w:rsid w:val="008707E9"/>
    <w:rsid w:val="00886CFA"/>
    <w:rsid w:val="00897C9E"/>
    <w:rsid w:val="008C4411"/>
    <w:rsid w:val="008D1DF1"/>
    <w:rsid w:val="008D4DE5"/>
    <w:rsid w:val="009313CA"/>
    <w:rsid w:val="0093235B"/>
    <w:rsid w:val="00933839"/>
    <w:rsid w:val="00943636"/>
    <w:rsid w:val="00947525"/>
    <w:rsid w:val="00973BF0"/>
    <w:rsid w:val="0098021D"/>
    <w:rsid w:val="00997D3C"/>
    <w:rsid w:val="009A24BF"/>
    <w:rsid w:val="009A40CC"/>
    <w:rsid w:val="009C3897"/>
    <w:rsid w:val="009D28B6"/>
    <w:rsid w:val="009D6612"/>
    <w:rsid w:val="009E1697"/>
    <w:rsid w:val="00A20686"/>
    <w:rsid w:val="00A2400F"/>
    <w:rsid w:val="00A30AF9"/>
    <w:rsid w:val="00A379C0"/>
    <w:rsid w:val="00A40E41"/>
    <w:rsid w:val="00A67BD3"/>
    <w:rsid w:val="00A72D87"/>
    <w:rsid w:val="00A75A86"/>
    <w:rsid w:val="00A9310C"/>
    <w:rsid w:val="00A94810"/>
    <w:rsid w:val="00AC32FB"/>
    <w:rsid w:val="00B10D33"/>
    <w:rsid w:val="00B11A6E"/>
    <w:rsid w:val="00B233BB"/>
    <w:rsid w:val="00B41115"/>
    <w:rsid w:val="00B41E8E"/>
    <w:rsid w:val="00B447D3"/>
    <w:rsid w:val="00B71E18"/>
    <w:rsid w:val="00B73E37"/>
    <w:rsid w:val="00B77AC0"/>
    <w:rsid w:val="00B81940"/>
    <w:rsid w:val="00B81FA9"/>
    <w:rsid w:val="00B82D55"/>
    <w:rsid w:val="00B839F9"/>
    <w:rsid w:val="00BC1570"/>
    <w:rsid w:val="00BC749F"/>
    <w:rsid w:val="00BD2B44"/>
    <w:rsid w:val="00BE6440"/>
    <w:rsid w:val="00BF1AD0"/>
    <w:rsid w:val="00BF4037"/>
    <w:rsid w:val="00C161D9"/>
    <w:rsid w:val="00C404F1"/>
    <w:rsid w:val="00C73FE1"/>
    <w:rsid w:val="00C84841"/>
    <w:rsid w:val="00C938F8"/>
    <w:rsid w:val="00CE1587"/>
    <w:rsid w:val="00CE2D87"/>
    <w:rsid w:val="00CE2DA9"/>
    <w:rsid w:val="00CE36A5"/>
    <w:rsid w:val="00CE52D7"/>
    <w:rsid w:val="00CF7C8E"/>
    <w:rsid w:val="00D5608A"/>
    <w:rsid w:val="00D838D1"/>
    <w:rsid w:val="00D868D7"/>
    <w:rsid w:val="00D943BE"/>
    <w:rsid w:val="00DC2E97"/>
    <w:rsid w:val="00DD48DD"/>
    <w:rsid w:val="00DE33CC"/>
    <w:rsid w:val="00E56227"/>
    <w:rsid w:val="00E81E5A"/>
    <w:rsid w:val="00EA7BBC"/>
    <w:rsid w:val="00EC0A67"/>
    <w:rsid w:val="00EE082E"/>
    <w:rsid w:val="00EF6845"/>
    <w:rsid w:val="00F00202"/>
    <w:rsid w:val="00F17673"/>
    <w:rsid w:val="00F365CC"/>
    <w:rsid w:val="00F37899"/>
    <w:rsid w:val="00F62F2D"/>
    <w:rsid w:val="00F72312"/>
    <w:rsid w:val="00F85807"/>
    <w:rsid w:val="00F91158"/>
    <w:rsid w:val="00FA1EA7"/>
    <w:rsid w:val="00FB49AA"/>
    <w:rsid w:val="00FD4112"/>
    <w:rsid w:val="00FE0BAE"/>
    <w:rsid w:val="00FE0D45"/>
    <w:rsid w:val="00FF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E01152B"/>
  <w15:chartTrackingRefBased/>
  <w15:docId w15:val="{924D3412-C241-4E54-B763-C24C4EAC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00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2C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A0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65B3"/>
    <w:rPr>
      <w:lang w:val="es-MX"/>
    </w:rPr>
  </w:style>
  <w:style w:type="paragraph" w:styleId="Piedepgina">
    <w:name w:val="footer"/>
    <w:basedOn w:val="Normal"/>
    <w:link w:val="PiedepginaCar"/>
    <w:unhideWhenUsed/>
    <w:rsid w:val="003F6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65B3"/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7B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7BBC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rsid w:val="009C3897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9D2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1563AB"/>
    <w:pPr>
      <w:spacing w:after="0" w:line="240" w:lineRule="auto"/>
    </w:pPr>
    <w:rPr>
      <w:lang w:val="es-MX"/>
    </w:rPr>
  </w:style>
  <w:style w:type="character" w:styleId="Refdecomentario">
    <w:name w:val="annotation reference"/>
    <w:basedOn w:val="Fuentedeprrafopredeter"/>
    <w:uiPriority w:val="99"/>
    <w:semiHidden/>
    <w:unhideWhenUsed/>
    <w:rsid w:val="00361D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61D1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61D1C"/>
    <w:rPr>
      <w:sz w:val="20"/>
      <w:szCs w:val="20"/>
      <w:lang w:val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61D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61D1C"/>
    <w:rPr>
      <w:b/>
      <w:bCs/>
      <w:sz w:val="20"/>
      <w:szCs w:val="20"/>
      <w:lang w:val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B839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839F9"/>
    <w:rPr>
      <w:rFonts w:eastAsiaTheme="minorEastAsia"/>
      <w:color w:val="5A5A5A" w:themeColor="text1" w:themeTint="A5"/>
      <w:spacing w:val="15"/>
      <w:lang w:val="es-MX"/>
    </w:rPr>
  </w:style>
  <w:style w:type="paragraph" w:styleId="Puesto">
    <w:name w:val="Title"/>
    <w:basedOn w:val="Normal"/>
    <w:next w:val="Normal"/>
    <w:link w:val="PuestoCar"/>
    <w:uiPriority w:val="10"/>
    <w:qFormat/>
    <w:rsid w:val="00F00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F00202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1Car">
    <w:name w:val="Título 1 Car"/>
    <w:basedOn w:val="Fuentedeprrafopredeter"/>
    <w:link w:val="Ttulo1"/>
    <w:uiPriority w:val="9"/>
    <w:rsid w:val="00F002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table" w:styleId="Tabladecuadrcula1clara-nfasis1">
    <w:name w:val="Grid Table 1 Light Accent 1"/>
    <w:basedOn w:val="Tablanormal"/>
    <w:uiPriority w:val="46"/>
    <w:rsid w:val="00CE158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9"/>
    <w:rsid w:val="00702C9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7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stici@.NET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2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1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Relationship Id="rId4" Type="http://schemas.openxmlformats.org/officeDocument/2006/relationships/hyperlink" Target="mailto:justici@.net,%20as%C3%AD%20como%20la%20configuraci%C3%B3n%20e%20implementaci%C3%B3n%20que%20cumpla%20con%20los%20requerimientos%20funcionales%20para%20atender%20el%20modelo%20de%20gesti%C3%B3n%20transitorio%20y%20el%20modelo%20de%20gesti%C3%B3n%20del%20sistema%20penal%20acusatorio%20y%20los%20procesos%20de%20ase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7AC87A5D1EF4AB94C3B9DC414B2B7" ma:contentTypeVersion="0" ma:contentTypeDescription="Create a new document." ma:contentTypeScope="" ma:versionID="8f156859f20db859338c836f4f86c7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073B-7960-43B6-8CEA-79F729B466A3}">
  <ds:schemaRefs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5123BA11-87A8-4EB8-8A89-DC862EB6E0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8051CF-ADDC-486B-97B8-FC838396F8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267173-C54D-49D4-8147-97C7B3AFC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309</Words>
  <Characters>1704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Constancia de Termino de Soporte en Sitio para entregable E08 y E09</vt:lpstr>
      <vt:lpstr>Constancia de Termino de Soporte en Sitio para entregable E08 y E09</vt:lpstr>
    </vt:vector>
  </TitlesOfParts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Constancia de Termino de Soporte en Sitio para entregable E08 y E09</dc:title>
  <dc:subject/>
  <dc:creator>Francia Lopez</dc:creator>
  <cp:keywords/>
  <dc:description/>
  <cp:lastModifiedBy>PGRDGTIC</cp:lastModifiedBy>
  <cp:revision>13</cp:revision>
  <cp:lastPrinted>2016-05-09T18:27:00Z</cp:lastPrinted>
  <dcterms:created xsi:type="dcterms:W3CDTF">2016-01-15T19:06:00Z</dcterms:created>
  <dcterms:modified xsi:type="dcterms:W3CDTF">2016-05-09T18:28:00Z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0x0101003717AC87A5D1EF4AB94C3B9DC414B2B7</vt:lpwstr>
  </property>
</Properties>
</file>