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47087" w14:textId="1C546E94" w:rsidR="00D83079" w:rsidRPr="003677C4" w:rsidRDefault="00D83079" w:rsidP="00D83079">
      <w:pPr>
        <w:spacing w:after="0" w:line="276" w:lineRule="auto"/>
        <w:jc w:val="right"/>
        <w:rPr>
          <w:sz w:val="24"/>
          <w:szCs w:val="24"/>
        </w:rPr>
      </w:pPr>
      <w:r w:rsidRPr="001F7373">
        <w:rPr>
          <w:b/>
          <w:sz w:val="24"/>
          <w:szCs w:val="24"/>
        </w:rPr>
        <w:t>OFICIO:</w:t>
      </w:r>
      <w:r w:rsidR="003677C4" w:rsidRPr="001F7373">
        <w:rPr>
          <w:sz w:val="24"/>
          <w:szCs w:val="24"/>
        </w:rPr>
        <w:t xml:space="preserve"> </w:t>
      </w:r>
      <w:r w:rsidR="00E72F13">
        <w:rPr>
          <w:sz w:val="24"/>
          <w:szCs w:val="24"/>
        </w:rPr>
        <w:t>BTSDF-1</w:t>
      </w:r>
      <w:r w:rsidR="00AD64F2">
        <w:rPr>
          <w:sz w:val="24"/>
          <w:szCs w:val="24"/>
        </w:rPr>
        <w:t>4</w:t>
      </w:r>
      <w:r w:rsidR="00B44054">
        <w:rPr>
          <w:sz w:val="24"/>
          <w:szCs w:val="24"/>
        </w:rPr>
        <w:t>9</w:t>
      </w:r>
      <w:r w:rsidR="00F706DB" w:rsidRPr="00F706DB">
        <w:rPr>
          <w:sz w:val="24"/>
          <w:szCs w:val="24"/>
        </w:rPr>
        <w:t>/2016</w:t>
      </w:r>
    </w:p>
    <w:p w14:paraId="4E0A4D99" w14:textId="05E51AAB" w:rsidR="005179AD" w:rsidRPr="003677C4" w:rsidRDefault="00B44054" w:rsidP="005179AD">
      <w:pPr>
        <w:spacing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Chilpancingo, Guerrero</w:t>
      </w:r>
      <w:r w:rsidR="00AD64F2">
        <w:rPr>
          <w:sz w:val="24"/>
          <w:szCs w:val="24"/>
        </w:rPr>
        <w:t xml:space="preserve"> a 20 de mayo </w:t>
      </w:r>
      <w:r w:rsidR="005179AD" w:rsidRPr="0076511A">
        <w:rPr>
          <w:sz w:val="24"/>
          <w:szCs w:val="24"/>
        </w:rPr>
        <w:t>de 2016</w:t>
      </w:r>
    </w:p>
    <w:p w14:paraId="76747089" w14:textId="77777777" w:rsidR="003677C4" w:rsidRPr="003677C4" w:rsidRDefault="003677C4" w:rsidP="00D83079">
      <w:pPr>
        <w:spacing w:after="0" w:line="276" w:lineRule="auto"/>
        <w:jc w:val="right"/>
        <w:rPr>
          <w:sz w:val="24"/>
          <w:szCs w:val="24"/>
        </w:rPr>
      </w:pPr>
    </w:p>
    <w:p w14:paraId="0AE1F655" w14:textId="4EDC9B14" w:rsidR="005179AD" w:rsidRPr="006658A2" w:rsidRDefault="00AD64F2" w:rsidP="005179AD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Lic. </w:t>
      </w:r>
      <w:r w:rsidR="00B44054">
        <w:rPr>
          <w:b/>
          <w:sz w:val="24"/>
          <w:szCs w:val="24"/>
        </w:rPr>
        <w:t>José Juan Monroy García</w:t>
      </w:r>
    </w:p>
    <w:p w14:paraId="19B3D0D4" w14:textId="17890EB6" w:rsidR="005179AD" w:rsidRPr="00441454" w:rsidRDefault="005179AD" w:rsidP="005179AD">
      <w:pPr>
        <w:spacing w:after="0" w:line="240" w:lineRule="auto"/>
        <w:rPr>
          <w:b/>
          <w:sz w:val="24"/>
          <w:szCs w:val="24"/>
        </w:rPr>
      </w:pPr>
      <w:r w:rsidRPr="00441454">
        <w:rPr>
          <w:b/>
          <w:sz w:val="24"/>
          <w:szCs w:val="24"/>
        </w:rPr>
        <w:t>Delegad</w:t>
      </w:r>
      <w:r w:rsidR="00441454" w:rsidRPr="00441454">
        <w:rPr>
          <w:b/>
          <w:sz w:val="24"/>
          <w:szCs w:val="24"/>
        </w:rPr>
        <w:t>o</w:t>
      </w:r>
      <w:r w:rsidRPr="00441454">
        <w:rPr>
          <w:b/>
          <w:sz w:val="24"/>
          <w:szCs w:val="24"/>
        </w:rPr>
        <w:t xml:space="preserve"> Estatal</w:t>
      </w:r>
      <w:r w:rsidR="00940FC2" w:rsidRPr="00441454">
        <w:rPr>
          <w:b/>
          <w:sz w:val="24"/>
          <w:szCs w:val="24"/>
        </w:rPr>
        <w:t xml:space="preserve"> </w:t>
      </w:r>
    </w:p>
    <w:p w14:paraId="375367B7" w14:textId="3F7E85F5" w:rsidR="005179AD" w:rsidRDefault="00B44054" w:rsidP="005179AD">
      <w:pPr>
        <w:spacing w:after="0" w:line="240" w:lineRule="auto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Acceso Tecnológico No 3, Predio La Cortina</w:t>
      </w:r>
    </w:p>
    <w:p w14:paraId="73E5CE5C" w14:textId="0B0D4018" w:rsidR="00B44054" w:rsidRPr="006658A2" w:rsidRDefault="00B44054" w:rsidP="005179AD">
      <w:pPr>
        <w:spacing w:after="0" w:line="240" w:lineRule="auto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C.P. 39090, Chilpancingo, Guerrero</w:t>
      </w:r>
    </w:p>
    <w:p w14:paraId="7674708D" w14:textId="77777777" w:rsidR="007E05EF" w:rsidRPr="006658A2" w:rsidRDefault="007E05EF" w:rsidP="007E05EF">
      <w:pPr>
        <w:spacing w:after="0" w:line="240" w:lineRule="auto"/>
        <w:rPr>
          <w:sz w:val="24"/>
          <w:szCs w:val="24"/>
        </w:rPr>
      </w:pPr>
      <w:r w:rsidRPr="006658A2">
        <w:rPr>
          <w:sz w:val="24"/>
          <w:szCs w:val="24"/>
        </w:rPr>
        <w:t>P r e s e n t e.-</w:t>
      </w:r>
    </w:p>
    <w:p w14:paraId="7674708E" w14:textId="6F159EC6" w:rsidR="00D83079" w:rsidRPr="006658A2" w:rsidRDefault="00D83079" w:rsidP="00D83079">
      <w:pPr>
        <w:spacing w:after="0" w:line="240" w:lineRule="auto"/>
        <w:jc w:val="right"/>
        <w:rPr>
          <w:sz w:val="24"/>
          <w:szCs w:val="24"/>
        </w:rPr>
      </w:pPr>
      <w:r w:rsidRPr="006658A2">
        <w:rPr>
          <w:b/>
          <w:sz w:val="24"/>
          <w:szCs w:val="24"/>
        </w:rPr>
        <w:t>Asunto:</w:t>
      </w:r>
      <w:r w:rsidR="003677C4" w:rsidRPr="006658A2">
        <w:rPr>
          <w:sz w:val="24"/>
          <w:szCs w:val="24"/>
        </w:rPr>
        <w:t xml:space="preserve"> </w:t>
      </w:r>
      <w:r w:rsidR="006806FF" w:rsidRPr="006658A2">
        <w:rPr>
          <w:sz w:val="24"/>
          <w:szCs w:val="24"/>
        </w:rPr>
        <w:t xml:space="preserve">Reporte </w:t>
      </w:r>
      <w:r w:rsidRPr="006658A2">
        <w:rPr>
          <w:sz w:val="24"/>
          <w:szCs w:val="24"/>
        </w:rPr>
        <w:t xml:space="preserve">de Capacitación </w:t>
      </w:r>
      <w:hyperlink r:id="rId11" w:history="1">
        <w:r w:rsidR="003677C4" w:rsidRPr="006658A2">
          <w:rPr>
            <w:rStyle w:val="Hyperlink"/>
            <w:sz w:val="24"/>
            <w:szCs w:val="24"/>
          </w:rPr>
          <w:t>Justici@.Net</w:t>
        </w:r>
      </w:hyperlink>
      <w:r w:rsidRPr="006658A2">
        <w:rPr>
          <w:sz w:val="24"/>
          <w:szCs w:val="24"/>
        </w:rPr>
        <w:t xml:space="preserve"> </w:t>
      </w:r>
      <w:r w:rsidR="006806FF" w:rsidRPr="006658A2">
        <w:rPr>
          <w:sz w:val="24"/>
          <w:szCs w:val="24"/>
        </w:rPr>
        <w:t>Transitorio</w:t>
      </w:r>
    </w:p>
    <w:p w14:paraId="7674708F" w14:textId="77777777" w:rsidR="003677C4" w:rsidRPr="006658A2" w:rsidRDefault="003677C4" w:rsidP="00D83079">
      <w:pPr>
        <w:spacing w:after="0" w:line="240" w:lineRule="auto"/>
        <w:jc w:val="right"/>
        <w:rPr>
          <w:sz w:val="24"/>
          <w:szCs w:val="24"/>
        </w:rPr>
      </w:pPr>
    </w:p>
    <w:p w14:paraId="53AA62F0" w14:textId="5112D7E5" w:rsidR="00085708" w:rsidRDefault="00DF2B52" w:rsidP="005179A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Estimado Lic. </w:t>
      </w:r>
      <w:r w:rsidR="00B44054">
        <w:rPr>
          <w:sz w:val="24"/>
          <w:szCs w:val="24"/>
        </w:rPr>
        <w:t>José Juan Monroy García</w:t>
      </w:r>
      <w:r w:rsidR="007E05EF" w:rsidRPr="006658A2">
        <w:rPr>
          <w:sz w:val="24"/>
          <w:szCs w:val="24"/>
        </w:rPr>
        <w:t>,</w:t>
      </w:r>
    </w:p>
    <w:p w14:paraId="62742FC4" w14:textId="4310AA14" w:rsidR="006806FF" w:rsidRPr="006658A2" w:rsidRDefault="003677C4" w:rsidP="007E05EF">
      <w:pPr>
        <w:ind w:firstLine="720"/>
        <w:jc w:val="both"/>
        <w:rPr>
          <w:sz w:val="24"/>
          <w:szCs w:val="24"/>
        </w:rPr>
      </w:pPr>
      <w:r w:rsidRPr="006658A2">
        <w:rPr>
          <w:sz w:val="24"/>
          <w:szCs w:val="24"/>
        </w:rPr>
        <w:t xml:space="preserve">Por medio de la </w:t>
      </w:r>
      <w:r w:rsidR="003244FF" w:rsidRPr="006658A2">
        <w:rPr>
          <w:sz w:val="24"/>
          <w:szCs w:val="24"/>
        </w:rPr>
        <w:t>presente me permito entregar a u</w:t>
      </w:r>
      <w:r w:rsidRPr="006658A2">
        <w:rPr>
          <w:sz w:val="24"/>
          <w:szCs w:val="24"/>
        </w:rPr>
        <w:t xml:space="preserve">sted de forma anexa el </w:t>
      </w:r>
      <w:r w:rsidR="006806FF" w:rsidRPr="006658A2">
        <w:rPr>
          <w:sz w:val="24"/>
          <w:szCs w:val="24"/>
        </w:rPr>
        <w:t xml:space="preserve">Reporte de Capacitación con </w:t>
      </w:r>
      <w:r w:rsidR="006658A2">
        <w:rPr>
          <w:sz w:val="24"/>
          <w:szCs w:val="24"/>
        </w:rPr>
        <w:t>un informe</w:t>
      </w:r>
      <w:r w:rsidR="006806FF" w:rsidRPr="006658A2">
        <w:rPr>
          <w:sz w:val="24"/>
          <w:szCs w:val="24"/>
        </w:rPr>
        <w:t xml:space="preserve"> de las sesiones realizadas durante los días</w:t>
      </w:r>
      <w:r w:rsidR="000A56DE" w:rsidRPr="006658A2">
        <w:rPr>
          <w:sz w:val="24"/>
          <w:szCs w:val="24"/>
        </w:rPr>
        <w:t xml:space="preserve"> del</w:t>
      </w:r>
      <w:r w:rsidR="006658A2">
        <w:rPr>
          <w:sz w:val="24"/>
          <w:szCs w:val="24"/>
        </w:rPr>
        <w:t xml:space="preserve"> 0</w:t>
      </w:r>
      <w:r w:rsidR="00B44054">
        <w:rPr>
          <w:sz w:val="24"/>
          <w:szCs w:val="24"/>
        </w:rPr>
        <w:t>3</w:t>
      </w:r>
      <w:r w:rsidR="006658A2">
        <w:rPr>
          <w:sz w:val="24"/>
          <w:szCs w:val="24"/>
        </w:rPr>
        <w:t xml:space="preserve"> al 0</w:t>
      </w:r>
      <w:r w:rsidR="00AD64F2">
        <w:rPr>
          <w:sz w:val="24"/>
          <w:szCs w:val="24"/>
        </w:rPr>
        <w:t>9</w:t>
      </w:r>
      <w:r w:rsidR="006658A2">
        <w:rPr>
          <w:sz w:val="24"/>
          <w:szCs w:val="24"/>
        </w:rPr>
        <w:t xml:space="preserve"> de mayo</w:t>
      </w:r>
      <w:r w:rsidR="006806FF" w:rsidRPr="006658A2">
        <w:rPr>
          <w:sz w:val="24"/>
          <w:szCs w:val="24"/>
        </w:rPr>
        <w:t xml:space="preserve"> del presente año</w:t>
      </w:r>
      <w:r w:rsidR="006658A2">
        <w:rPr>
          <w:sz w:val="24"/>
          <w:szCs w:val="24"/>
        </w:rPr>
        <w:t>,</w:t>
      </w:r>
      <w:r w:rsidR="006806FF" w:rsidRPr="006658A2">
        <w:rPr>
          <w:sz w:val="24"/>
          <w:szCs w:val="24"/>
        </w:rPr>
        <w:t xml:space="preserve"> el </w:t>
      </w:r>
      <w:r w:rsidR="00E83FDC" w:rsidRPr="006658A2">
        <w:rPr>
          <w:sz w:val="24"/>
          <w:szCs w:val="24"/>
        </w:rPr>
        <w:t>cual</w:t>
      </w:r>
      <w:r w:rsidR="006806FF" w:rsidRPr="006658A2">
        <w:rPr>
          <w:sz w:val="24"/>
          <w:szCs w:val="24"/>
        </w:rPr>
        <w:t xml:space="preserve"> consta de </w:t>
      </w:r>
      <w:r w:rsidR="00AD64F2">
        <w:rPr>
          <w:sz w:val="24"/>
          <w:szCs w:val="24"/>
        </w:rPr>
        <w:t>2</w:t>
      </w:r>
      <w:r w:rsidR="00B44054">
        <w:rPr>
          <w:sz w:val="24"/>
          <w:szCs w:val="24"/>
        </w:rPr>
        <w:t>8</w:t>
      </w:r>
      <w:r w:rsidR="006806FF" w:rsidRPr="006658A2">
        <w:rPr>
          <w:sz w:val="24"/>
          <w:szCs w:val="24"/>
        </w:rPr>
        <w:t xml:space="preserve"> páginas, como preparación en el uso del Sistema Informático </w:t>
      </w:r>
      <w:hyperlink r:id="rId12" w:history="1">
        <w:r w:rsidR="006806FF" w:rsidRPr="006658A2">
          <w:rPr>
            <w:rStyle w:val="Hyperlink"/>
            <w:sz w:val="24"/>
            <w:szCs w:val="24"/>
          </w:rPr>
          <w:t>Justici@.Net</w:t>
        </w:r>
      </w:hyperlink>
      <w:r w:rsidR="006806FF" w:rsidRPr="006658A2">
        <w:rPr>
          <w:sz w:val="24"/>
          <w:szCs w:val="24"/>
        </w:rPr>
        <w:t xml:space="preserve"> para e</w:t>
      </w:r>
      <w:r w:rsidR="006658A2">
        <w:rPr>
          <w:sz w:val="24"/>
          <w:szCs w:val="24"/>
        </w:rPr>
        <w:t>l Modelo de Gestión Transitorio.</w:t>
      </w:r>
    </w:p>
    <w:p w14:paraId="76747091" w14:textId="1E59600D" w:rsidR="0002633D" w:rsidRPr="006658A2" w:rsidRDefault="006806FF" w:rsidP="006806FF">
      <w:pPr>
        <w:jc w:val="both"/>
        <w:rPr>
          <w:sz w:val="24"/>
          <w:szCs w:val="24"/>
        </w:rPr>
      </w:pPr>
      <w:r w:rsidRPr="006658A2">
        <w:rPr>
          <w:sz w:val="24"/>
          <w:szCs w:val="24"/>
        </w:rPr>
        <w:t>En el reporte se detalla lo siguiente:</w:t>
      </w:r>
    </w:p>
    <w:p w14:paraId="6B4AACD3" w14:textId="77777777" w:rsidR="006806FF" w:rsidRPr="006658A2" w:rsidRDefault="006806FF" w:rsidP="006806FF">
      <w:pPr>
        <w:pStyle w:val="ListParagraph"/>
        <w:numPr>
          <w:ilvl w:val="0"/>
          <w:numId w:val="8"/>
        </w:numPr>
        <w:rPr>
          <w:rFonts w:cs="Segoe UI"/>
          <w:sz w:val="24"/>
          <w:szCs w:val="24"/>
        </w:rPr>
      </w:pPr>
      <w:r w:rsidRPr="006658A2">
        <w:rPr>
          <w:rFonts w:cs="Segoe UI"/>
          <w:sz w:val="24"/>
          <w:szCs w:val="24"/>
        </w:rPr>
        <w:t>Promedio General de Asistencia y Evaluación</w:t>
      </w:r>
    </w:p>
    <w:p w14:paraId="2AD51370" w14:textId="77777777" w:rsidR="006806FF" w:rsidRPr="006658A2" w:rsidRDefault="006806FF" w:rsidP="006806FF">
      <w:pPr>
        <w:pStyle w:val="ListParagraph"/>
        <w:numPr>
          <w:ilvl w:val="0"/>
          <w:numId w:val="8"/>
        </w:numPr>
        <w:rPr>
          <w:rFonts w:cs="Segoe UI"/>
          <w:sz w:val="24"/>
          <w:szCs w:val="24"/>
        </w:rPr>
      </w:pPr>
      <w:r w:rsidRPr="006658A2">
        <w:rPr>
          <w:rFonts w:cs="Segoe UI"/>
          <w:sz w:val="24"/>
          <w:szCs w:val="24"/>
        </w:rPr>
        <w:t>Detalle de asistencia del personal y resultado de la evaluación aplicada</w:t>
      </w:r>
    </w:p>
    <w:p w14:paraId="4B578209" w14:textId="77777777" w:rsidR="006806FF" w:rsidRPr="006658A2" w:rsidRDefault="006806FF" w:rsidP="006806FF">
      <w:pPr>
        <w:pStyle w:val="ListParagraph"/>
        <w:numPr>
          <w:ilvl w:val="0"/>
          <w:numId w:val="8"/>
        </w:numPr>
        <w:rPr>
          <w:rFonts w:cs="Segoe UI"/>
          <w:sz w:val="24"/>
          <w:szCs w:val="24"/>
        </w:rPr>
      </w:pPr>
      <w:r w:rsidRPr="006658A2">
        <w:rPr>
          <w:rFonts w:cs="Segoe UI"/>
          <w:sz w:val="24"/>
          <w:szCs w:val="24"/>
        </w:rPr>
        <w:t>Resultado de encuesta de satisfacción aplicada</w:t>
      </w:r>
    </w:p>
    <w:p w14:paraId="65C69123" w14:textId="23A5A9E2" w:rsidR="006806FF" w:rsidRPr="007F4AB1" w:rsidRDefault="006806FF" w:rsidP="00444F6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658A2">
        <w:rPr>
          <w:rFonts w:cs="Segoe UI"/>
          <w:sz w:val="24"/>
          <w:szCs w:val="24"/>
        </w:rPr>
        <w:t>Álbum fotográfico, como evidencia de cada una de las sesiones llevadas a cabo</w:t>
      </w:r>
      <w:r w:rsidR="007F4AB1">
        <w:rPr>
          <w:rFonts w:cs="Segoe UI"/>
          <w:sz w:val="24"/>
          <w:szCs w:val="24"/>
        </w:rPr>
        <w:t>.</w:t>
      </w:r>
    </w:p>
    <w:p w14:paraId="65204FE3" w14:textId="77777777" w:rsidR="007F4AB1" w:rsidRPr="006658A2" w:rsidRDefault="007F4AB1" w:rsidP="007F4AB1">
      <w:pPr>
        <w:pStyle w:val="ListParagraph"/>
        <w:rPr>
          <w:sz w:val="24"/>
          <w:szCs w:val="24"/>
        </w:rPr>
      </w:pPr>
      <w:bookmarkStart w:id="0" w:name="_GoBack"/>
      <w:bookmarkEnd w:id="0"/>
    </w:p>
    <w:p w14:paraId="76747094" w14:textId="77777777" w:rsidR="00D83079" w:rsidRPr="006658A2" w:rsidRDefault="00D83079" w:rsidP="00D83079">
      <w:pPr>
        <w:pStyle w:val="NoSpacing"/>
        <w:rPr>
          <w:sz w:val="24"/>
          <w:szCs w:val="24"/>
        </w:rPr>
      </w:pPr>
      <w:r w:rsidRPr="006658A2">
        <w:rPr>
          <w:sz w:val="24"/>
          <w:szCs w:val="24"/>
        </w:rPr>
        <w:t>Quedando a sus respetables órdenes y agradeciendo la</w:t>
      </w:r>
      <w:r w:rsidR="003677C4" w:rsidRPr="006658A2">
        <w:rPr>
          <w:sz w:val="24"/>
          <w:szCs w:val="24"/>
        </w:rPr>
        <w:t xml:space="preserve"> atención prestada a la presente.</w:t>
      </w:r>
    </w:p>
    <w:p w14:paraId="76747095" w14:textId="77777777" w:rsidR="00D83079" w:rsidRDefault="00282AB3" w:rsidP="00D83079">
      <w:pPr>
        <w:pStyle w:val="NoSpacing"/>
        <w:rPr>
          <w:sz w:val="24"/>
          <w:szCs w:val="24"/>
        </w:rPr>
      </w:pPr>
      <w:r w:rsidRPr="006658A2">
        <w:rPr>
          <w:sz w:val="24"/>
          <w:szCs w:val="24"/>
        </w:rPr>
        <w:tab/>
      </w:r>
    </w:p>
    <w:p w14:paraId="25730497" w14:textId="77777777" w:rsidR="007F4AB1" w:rsidRPr="006658A2" w:rsidRDefault="007F4AB1" w:rsidP="00D83079">
      <w:pPr>
        <w:pStyle w:val="NoSpacing"/>
        <w:rPr>
          <w:sz w:val="24"/>
          <w:szCs w:val="24"/>
        </w:rPr>
      </w:pPr>
    </w:p>
    <w:p w14:paraId="7674709A" w14:textId="34573D86" w:rsidR="0002633D" w:rsidRPr="006658A2" w:rsidRDefault="00D83079" w:rsidP="00D83079">
      <w:pPr>
        <w:pStyle w:val="NoSpacing"/>
        <w:jc w:val="right"/>
        <w:rPr>
          <w:sz w:val="24"/>
          <w:szCs w:val="24"/>
        </w:rPr>
      </w:pPr>
      <w:r w:rsidRPr="006658A2">
        <w:rPr>
          <w:sz w:val="24"/>
          <w:szCs w:val="24"/>
        </w:rPr>
        <w:t>Atentamente,</w:t>
      </w:r>
    </w:p>
    <w:p w14:paraId="435DB80B" w14:textId="77777777" w:rsidR="00E05A04" w:rsidRPr="006658A2" w:rsidRDefault="00E05A04" w:rsidP="00D83079">
      <w:pPr>
        <w:pStyle w:val="NoSpacing"/>
        <w:jc w:val="right"/>
        <w:rPr>
          <w:sz w:val="24"/>
          <w:szCs w:val="24"/>
        </w:rPr>
      </w:pPr>
    </w:p>
    <w:p w14:paraId="7674709B" w14:textId="77777777" w:rsidR="003677C4" w:rsidRPr="006658A2" w:rsidRDefault="003677C4" w:rsidP="00D83079">
      <w:pPr>
        <w:pStyle w:val="NoSpacing"/>
        <w:jc w:val="right"/>
        <w:rPr>
          <w:sz w:val="24"/>
          <w:szCs w:val="24"/>
        </w:rPr>
      </w:pPr>
    </w:p>
    <w:p w14:paraId="7674709C" w14:textId="77777777" w:rsidR="00D83079" w:rsidRPr="006658A2" w:rsidRDefault="00D83079" w:rsidP="00D83079">
      <w:pPr>
        <w:pStyle w:val="NoSpacing"/>
        <w:jc w:val="right"/>
        <w:rPr>
          <w:sz w:val="24"/>
          <w:szCs w:val="24"/>
        </w:rPr>
      </w:pPr>
      <w:r w:rsidRPr="006658A2">
        <w:rPr>
          <w:sz w:val="24"/>
          <w:szCs w:val="24"/>
        </w:rPr>
        <w:t>________________________________________</w:t>
      </w:r>
    </w:p>
    <w:p w14:paraId="53B06A53" w14:textId="6589B579" w:rsidR="006658A2" w:rsidRDefault="00B44054" w:rsidP="005179AD">
      <w:pPr>
        <w:pStyle w:val="NoSpacing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Ing. Alberto Marnathael Valdez </w:t>
      </w:r>
      <w:proofErr w:type="spellStart"/>
      <w:r>
        <w:rPr>
          <w:b/>
          <w:sz w:val="24"/>
          <w:szCs w:val="24"/>
        </w:rPr>
        <w:t>Raygoza</w:t>
      </w:r>
      <w:proofErr w:type="spellEnd"/>
    </w:p>
    <w:p w14:paraId="381E7791" w14:textId="18F48DD3" w:rsidR="005179AD" w:rsidRPr="006658A2" w:rsidRDefault="006658A2" w:rsidP="005179AD">
      <w:pPr>
        <w:pStyle w:val="NoSpacing"/>
        <w:jc w:val="right"/>
        <w:rPr>
          <w:noProof/>
          <w:sz w:val="24"/>
          <w:szCs w:val="24"/>
          <w:lang w:eastAsia="es-MX"/>
        </w:rPr>
      </w:pPr>
      <w:r>
        <w:rPr>
          <w:b/>
          <w:sz w:val="24"/>
          <w:szCs w:val="24"/>
        </w:rPr>
        <w:t>Responsable en</w:t>
      </w:r>
      <w:r w:rsidR="00AD64F2">
        <w:rPr>
          <w:b/>
          <w:sz w:val="24"/>
          <w:szCs w:val="24"/>
        </w:rPr>
        <w:t xml:space="preserve"> </w:t>
      </w:r>
      <w:r w:rsidR="00B44054">
        <w:rPr>
          <w:b/>
          <w:sz w:val="24"/>
          <w:szCs w:val="24"/>
        </w:rPr>
        <w:t>Guerrero</w:t>
      </w:r>
    </w:p>
    <w:p w14:paraId="7674709F" w14:textId="03DDC1CF" w:rsidR="0002633D" w:rsidRPr="006658A2" w:rsidRDefault="00D83079" w:rsidP="005179AD">
      <w:pPr>
        <w:pStyle w:val="NoSpacing"/>
        <w:jc w:val="right"/>
        <w:rPr>
          <w:sz w:val="24"/>
          <w:szCs w:val="24"/>
        </w:rPr>
      </w:pPr>
      <w:r w:rsidRPr="006658A2">
        <w:rPr>
          <w:sz w:val="24"/>
          <w:szCs w:val="24"/>
        </w:rPr>
        <w:t>Bufete de Tecnología y Soluciones Avanzadas, S.C.</w:t>
      </w:r>
    </w:p>
    <w:p w14:paraId="767470A0" w14:textId="35EA82DF" w:rsidR="003642B2" w:rsidRDefault="003642B2" w:rsidP="003642B2">
      <w:pPr>
        <w:pStyle w:val="NoSpacing"/>
        <w:rPr>
          <w:sz w:val="16"/>
        </w:rPr>
      </w:pPr>
      <w:proofErr w:type="spellStart"/>
      <w:r>
        <w:rPr>
          <w:sz w:val="18"/>
        </w:rPr>
        <w:t>C</w:t>
      </w:r>
      <w:r>
        <w:rPr>
          <w:sz w:val="16"/>
        </w:rPr>
        <w:t>.</w:t>
      </w:r>
      <w:r w:rsidR="005179AD">
        <w:rPr>
          <w:sz w:val="16"/>
        </w:rPr>
        <w:t>c.p</w:t>
      </w:r>
      <w:proofErr w:type="spellEnd"/>
      <w:r w:rsidR="005179AD">
        <w:rPr>
          <w:sz w:val="16"/>
        </w:rPr>
        <w:t>. Ing. Genaro Azuara Vázquez</w:t>
      </w:r>
      <w:r>
        <w:rPr>
          <w:sz w:val="16"/>
        </w:rPr>
        <w:t xml:space="preserve"> – Administrador del contrato</w:t>
      </w:r>
    </w:p>
    <w:p w14:paraId="767470A1" w14:textId="77777777" w:rsidR="003642B2" w:rsidRDefault="003642B2" w:rsidP="003642B2">
      <w:pPr>
        <w:pStyle w:val="NoSpacing"/>
        <w:rPr>
          <w:sz w:val="16"/>
        </w:rPr>
      </w:pPr>
      <w:r>
        <w:rPr>
          <w:sz w:val="16"/>
        </w:rPr>
        <w:t xml:space="preserve">           Ing. Lizeth Murrieta Zavala – Directora de Proyectos</w:t>
      </w:r>
    </w:p>
    <w:p w14:paraId="767470A3" w14:textId="2FD6DA21" w:rsidR="003642B2" w:rsidRPr="003677C4" w:rsidRDefault="003642B2" w:rsidP="00085708">
      <w:pPr>
        <w:pStyle w:val="NoSpacing"/>
        <w:rPr>
          <w:sz w:val="24"/>
          <w:szCs w:val="24"/>
        </w:rPr>
      </w:pPr>
      <w:r>
        <w:rPr>
          <w:sz w:val="16"/>
        </w:rPr>
        <w:t xml:space="preserve">           Archivo</w:t>
      </w:r>
    </w:p>
    <w:sectPr w:rsidR="003642B2" w:rsidRPr="003677C4" w:rsidSect="004970E1">
      <w:headerReference w:type="default" r:id="rId13"/>
      <w:footerReference w:type="default" r:id="rId14"/>
      <w:pgSz w:w="12240" w:h="15840"/>
      <w:pgMar w:top="126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C721B2" w14:textId="77777777" w:rsidR="00CE35D4" w:rsidRDefault="00CE35D4" w:rsidP="003F65B3">
      <w:pPr>
        <w:spacing w:after="0" w:line="240" w:lineRule="auto"/>
      </w:pPr>
      <w:r>
        <w:separator/>
      </w:r>
    </w:p>
  </w:endnote>
  <w:endnote w:type="continuationSeparator" w:id="0">
    <w:p w14:paraId="448C9D4B" w14:textId="77777777" w:rsidR="00CE35D4" w:rsidRDefault="00CE35D4" w:rsidP="003F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7470BE" w14:textId="77777777" w:rsidR="009C3897" w:rsidRDefault="009C3897" w:rsidP="009C3897">
    <w:pPr>
      <w:pStyle w:val="Footer"/>
      <w:ind w:right="30"/>
      <w:jc w:val="center"/>
      <w:rPr>
        <w:color w:val="000080"/>
        <w:sz w:val="14"/>
        <w:szCs w:val="14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767470C3" wp14:editId="767470C4">
              <wp:simplePos x="0" y="0"/>
              <wp:positionH relativeFrom="column">
                <wp:posOffset>76200</wp:posOffset>
              </wp:positionH>
              <wp:positionV relativeFrom="paragraph">
                <wp:posOffset>14605</wp:posOffset>
              </wp:positionV>
              <wp:extent cx="6305550" cy="0"/>
              <wp:effectExtent l="0" t="19050" r="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555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142C08" id="Line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pt,1.15pt" to="502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" strokecolor="silver" strokeweight="3pt">
              <v:stroke linestyle="thinThin"/>
            </v:line>
          </w:pict>
        </mc:Fallback>
      </mc:AlternateContent>
    </w:r>
  </w:p>
  <w:p w14:paraId="767470BF" w14:textId="77777777" w:rsidR="009C3897" w:rsidRPr="00092816" w:rsidRDefault="009C3897" w:rsidP="009C3897">
    <w:pPr>
      <w:pStyle w:val="Footer"/>
      <w:ind w:right="-60"/>
      <w:jc w:val="center"/>
      <w:rPr>
        <w:rFonts w:ascii="Calibri" w:hAnsi="Calibri" w:cs="Calibri"/>
        <w:color w:val="1F4E79" w:themeColor="accent1" w:themeShade="80"/>
        <w:szCs w:val="14"/>
      </w:rPr>
    </w:pPr>
    <w:r w:rsidRPr="00092816">
      <w:rPr>
        <w:rFonts w:ascii="Calibri" w:hAnsi="Calibri" w:cs="Calibri"/>
        <w:color w:val="1F4E79" w:themeColor="accent1" w:themeShade="80"/>
        <w:szCs w:val="14"/>
      </w:rPr>
      <w:t xml:space="preserve">Avenida del Hospital </w:t>
    </w:r>
    <w:r>
      <w:rPr>
        <w:rFonts w:ascii="Calibri" w:hAnsi="Calibri" w:cs="Calibri"/>
        <w:color w:val="1F4E79" w:themeColor="accent1" w:themeShade="80"/>
        <w:szCs w:val="14"/>
      </w:rPr>
      <w:t xml:space="preserve">No. </w:t>
    </w:r>
    <w:r w:rsidRPr="00092816">
      <w:rPr>
        <w:rFonts w:ascii="Calibri" w:hAnsi="Calibri" w:cs="Calibri"/>
        <w:color w:val="1F4E79" w:themeColor="accent1" w:themeShade="80"/>
        <w:szCs w:val="14"/>
      </w:rPr>
      <w:t>950</w:t>
    </w:r>
    <w:r>
      <w:rPr>
        <w:rFonts w:ascii="Calibri" w:hAnsi="Calibri" w:cs="Calibri"/>
        <w:color w:val="1F4E79" w:themeColor="accent1" w:themeShade="80"/>
        <w:szCs w:val="14"/>
      </w:rPr>
      <w:t xml:space="preserve"> Local </w:t>
    </w:r>
    <w:r w:rsidRPr="00092816">
      <w:rPr>
        <w:rFonts w:ascii="Calibri" w:hAnsi="Calibri" w:cs="Calibri"/>
        <w:color w:val="1F4E79" w:themeColor="accent1" w:themeShade="80"/>
        <w:szCs w:val="14"/>
      </w:rPr>
      <w:t>4, Centro Cívico; Mexicali, B.C. 21000 Tel/Fax +52 (686) 558 0972</w:t>
    </w:r>
  </w:p>
  <w:p w14:paraId="767470C0" w14:textId="77777777" w:rsidR="003470E6" w:rsidRPr="009C3897" w:rsidRDefault="009C3897" w:rsidP="009C3897">
    <w:pPr>
      <w:pStyle w:val="Footer"/>
      <w:ind w:right="-60"/>
      <w:jc w:val="center"/>
      <w:rPr>
        <w:rFonts w:ascii="Calibri" w:hAnsi="Calibri" w:cs="Calibri"/>
        <w:color w:val="1F4E79" w:themeColor="accent1" w:themeShade="80"/>
        <w:sz w:val="18"/>
        <w:szCs w:val="14"/>
        <w:u w:val="single"/>
        <w:lang w:val="en-US"/>
      </w:rPr>
    </w:pPr>
    <w:r w:rsidRPr="00092816">
      <w:rPr>
        <w:rFonts w:ascii="Calibri" w:hAnsi="Calibri" w:cs="Calibri"/>
        <w:color w:val="1F4E79" w:themeColor="accent1" w:themeShade="80"/>
        <w:sz w:val="18"/>
        <w:szCs w:val="14"/>
        <w:lang w:val="en-US"/>
      </w:rPr>
      <w:t xml:space="preserve">Email: </w:t>
    </w:r>
    <w:r w:rsidR="00CE35D4">
      <w:fldChar w:fldCharType="begin"/>
    </w:r>
    <w:r w:rsidR="00CE35D4" w:rsidRPr="00B44054">
      <w:rPr>
        <w:lang w:val="en-US"/>
      </w:rPr>
      <w:instrText xml:space="preserve"> HYPERLINK "mailto:contacto@bts.com.mx" </w:instrText>
    </w:r>
    <w:r w:rsidR="00CE35D4">
      <w:fldChar w:fldCharType="separate"/>
    </w:r>
    <w:r w:rsidRPr="007261C5">
      <w:rPr>
        <w:rStyle w:val="Hyperlink"/>
        <w:rFonts w:ascii="Calibri" w:hAnsi="Calibri" w:cs="Calibri"/>
        <w:sz w:val="18"/>
        <w:szCs w:val="14"/>
        <w:lang w:val="en-US"/>
      </w:rPr>
      <w:t>contacto@bts.com.mx</w:t>
    </w:r>
    <w:r w:rsidR="00CE35D4">
      <w:rPr>
        <w:rStyle w:val="Hyperlink"/>
        <w:rFonts w:ascii="Calibri" w:hAnsi="Calibri" w:cs="Calibri"/>
        <w:sz w:val="18"/>
        <w:szCs w:val="14"/>
        <w:lang w:val="en-US"/>
      </w:rPr>
      <w:fldChar w:fldCharType="end"/>
    </w:r>
    <w:r w:rsidRPr="00092816">
      <w:rPr>
        <w:rFonts w:ascii="Calibri" w:hAnsi="Calibri" w:cs="Calibri"/>
        <w:color w:val="1F4E79" w:themeColor="accent1" w:themeShade="80"/>
        <w:sz w:val="18"/>
        <w:szCs w:val="14"/>
        <w:lang w:val="en-US"/>
      </w:rPr>
      <w:t xml:space="preserve">   Web: </w:t>
    </w:r>
    <w:hyperlink r:id="rId1" w:history="1">
      <w:r w:rsidRPr="007261C5">
        <w:rPr>
          <w:rStyle w:val="Hyperlink"/>
          <w:rFonts w:ascii="Calibri" w:hAnsi="Calibri" w:cs="Calibri"/>
          <w:sz w:val="18"/>
          <w:szCs w:val="14"/>
          <w:lang w:val="en-US"/>
        </w:rPr>
        <w:t>www.bts.com.mx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1E12F8" w14:textId="77777777" w:rsidR="00CE35D4" w:rsidRDefault="00CE35D4" w:rsidP="003F65B3">
      <w:pPr>
        <w:spacing w:after="0" w:line="240" w:lineRule="auto"/>
      </w:pPr>
      <w:r>
        <w:separator/>
      </w:r>
    </w:p>
  </w:footnote>
  <w:footnote w:type="continuationSeparator" w:id="0">
    <w:p w14:paraId="3ABD2926" w14:textId="77777777" w:rsidR="00CE35D4" w:rsidRDefault="00CE35D4" w:rsidP="003F6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506" w:type="dxa"/>
      <w:tblInd w:w="-71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60"/>
      <w:gridCol w:w="6946"/>
    </w:tblGrid>
    <w:tr w:rsidR="00897FB5" w14:paraId="767470AA" w14:textId="77777777" w:rsidTr="00897FB5">
      <w:trPr>
        <w:trHeight w:val="107"/>
      </w:trPr>
      <w:tc>
        <w:tcPr>
          <w:tcW w:w="156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A8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Fecha de la clasificación</w:t>
          </w:r>
        </w:p>
      </w:tc>
      <w:tc>
        <w:tcPr>
          <w:tcW w:w="6946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A9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9 de junio de 2015</w:t>
          </w:r>
        </w:p>
      </w:tc>
    </w:tr>
    <w:tr w:rsidR="00897FB5" w14:paraId="767470AD" w14:textId="77777777" w:rsidTr="00897FB5">
      <w:trPr>
        <w:trHeight w:val="90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AB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Unidad Administrativa: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AC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Unidad para la Implementación del Sistema Procesal Penal Acusatorio en la Procuraduría General de la Republica</w:t>
          </w:r>
        </w:p>
      </w:tc>
    </w:tr>
    <w:tr w:rsidR="00897FB5" w14:paraId="767470B0" w14:textId="77777777" w:rsidTr="00897FB5">
      <w:trPr>
        <w:trHeight w:val="64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AE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Clasificación: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AF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Reservada</w:t>
          </w:r>
        </w:p>
      </w:tc>
    </w:tr>
    <w:tr w:rsidR="00897FB5" w14:paraId="767470B3" w14:textId="77777777" w:rsidTr="00897FB5">
      <w:trPr>
        <w:trHeight w:val="604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1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Fundamento Legal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2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Artículos 3 fracción XII, 13, fracciones I, IV y V; 14 fracciones I y III, 15 de la Ley Federal de Transparencia y Acceso a la Información Pública Gubernamental., Lineamiento Décimo Octavo, fracción V, incisos c) y d), Décimo Noveno, fracciones I, inciso a), c) y II inciso a) y c), Vigésimo Cuarto fracciones II y III de los Lineamientos Generales para la clasificación y desclasificación de la información de las dependencias y entidades de la Administración Pública Gubernamental .</w:t>
          </w:r>
        </w:p>
      </w:tc>
    </w:tr>
    <w:tr w:rsidR="00897FB5" w14:paraId="767470B6" w14:textId="77777777" w:rsidTr="00897FB5">
      <w:trPr>
        <w:trHeight w:val="258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4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Ley específica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5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Artículos 16 del Código Federal de Procedimientos Penales , 15 y 106 del Código Nacional de Procedimientos Penales, 3  fracción III, 12 y 13 fracción I, VI y X, 50, 51fracción I y II y 54 de la Ley de Seguridad Nacional;</w:t>
          </w:r>
        </w:p>
      </w:tc>
    </w:tr>
    <w:tr w:rsidR="00897FB5" w14:paraId="767470B9" w14:textId="77777777" w:rsidTr="00897FB5">
      <w:trPr>
        <w:trHeight w:val="93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7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Periodo de reserva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8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Hasta 12 años</w:t>
          </w:r>
        </w:p>
      </w:tc>
    </w:tr>
    <w:tr w:rsidR="00897FB5" w14:paraId="767470BC" w14:textId="77777777" w:rsidTr="00897FB5">
      <w:trPr>
        <w:trHeight w:val="1215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A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Rúbrica del Titular de la Unidad Administrativa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B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Documento clasificado de conformidad al dictamen de justificación para la contratación del  Servicio integral que incluye la adquisición de carácter perpetuo del licenciamiento de la herramienta informática denominada </w:t>
          </w:r>
          <w:hyperlink r:id="rId1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justici</w:t>
            </w:r>
          </w:hyperlink>
          <w:hyperlink r:id="rId2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@</w:t>
            </w:r>
          </w:hyperlink>
          <w:hyperlink r:id="rId3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.net</w:t>
            </w:r>
          </w:hyperlink>
          <w:hyperlink r:id="rId4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, así como la configuración e implementación que cumpla con los requerimientos funcionales para atender el modelo de gestión transitorio y el modelo de gestión del sistema penal acusatorio y los procesos de aseguramientos, procedimientos internacionales, juicios de amparo, juicios y procedimientos administrativos de la PGR, acciones de inconstitucionalidad, controversias constitucionales y otros procedimientos constitucionales (juicios constitucionales) y procesos penales federales, así como su implementación en las 32 Delegaciones de la Procuraduría General de la República y Oficinas Centrales</w:t>
            </w:r>
          </w:hyperlink>
          <w:r>
            <w:rPr>
              <w:rFonts w:ascii="Helvetica" w:hAnsi="Helvetica" w:cs="Helvetica"/>
              <w:color w:val="323E4F"/>
              <w:sz w:val="12"/>
              <w:szCs w:val="12"/>
            </w:rPr>
            <w:t>, firmado por el Titular de la Unidad para la Implementación del Sistema Procesal Penal Acusatorio en la Procuraduría General de la Republica.</w:t>
          </w:r>
        </w:p>
      </w:tc>
    </w:tr>
  </w:tbl>
  <w:p w14:paraId="767470BD" w14:textId="77777777" w:rsidR="003F65B3" w:rsidRDefault="00544248">
    <w:pPr>
      <w:pStyle w:val="Header"/>
    </w:pPr>
    <w:r w:rsidRPr="00C0634F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67470C1" wp14:editId="767470C2">
          <wp:simplePos x="0" y="0"/>
          <wp:positionH relativeFrom="column">
            <wp:posOffset>4965382</wp:posOffset>
          </wp:positionH>
          <wp:positionV relativeFrom="paragraph">
            <wp:posOffset>-1902460</wp:posOffset>
          </wp:positionV>
          <wp:extent cx="1623432" cy="892175"/>
          <wp:effectExtent l="0" t="0" r="0" b="3175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432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0575136C"/>
    <w:multiLevelType w:val="hybridMultilevel"/>
    <w:tmpl w:val="8F66E8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D546B0"/>
    <w:multiLevelType w:val="hybridMultilevel"/>
    <w:tmpl w:val="0B96D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4B010C"/>
    <w:multiLevelType w:val="hybridMultilevel"/>
    <w:tmpl w:val="A0685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576414"/>
    <w:multiLevelType w:val="hybridMultilevel"/>
    <w:tmpl w:val="9F3A241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D1B38"/>
    <w:multiLevelType w:val="hybridMultilevel"/>
    <w:tmpl w:val="D2467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D56CF"/>
    <w:multiLevelType w:val="hybridMultilevel"/>
    <w:tmpl w:val="2BE0A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020F65"/>
    <w:multiLevelType w:val="hybridMultilevel"/>
    <w:tmpl w:val="8550B77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10EB2"/>
    <w:multiLevelType w:val="hybridMultilevel"/>
    <w:tmpl w:val="016CE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EAA"/>
    <w:rsid w:val="0000270D"/>
    <w:rsid w:val="000150D2"/>
    <w:rsid w:val="0002633D"/>
    <w:rsid w:val="000312FD"/>
    <w:rsid w:val="0004240B"/>
    <w:rsid w:val="00056A7E"/>
    <w:rsid w:val="0006042B"/>
    <w:rsid w:val="00085708"/>
    <w:rsid w:val="00091EAA"/>
    <w:rsid w:val="00095331"/>
    <w:rsid w:val="0009728A"/>
    <w:rsid w:val="000A0666"/>
    <w:rsid w:val="000A56DE"/>
    <w:rsid w:val="000A6F50"/>
    <w:rsid w:val="000A7064"/>
    <w:rsid w:val="000B7FF6"/>
    <w:rsid w:val="000C5DE3"/>
    <w:rsid w:val="000D1C3B"/>
    <w:rsid w:val="000F2D78"/>
    <w:rsid w:val="000F3066"/>
    <w:rsid w:val="00115AE7"/>
    <w:rsid w:val="00134CA8"/>
    <w:rsid w:val="001654FF"/>
    <w:rsid w:val="00165B43"/>
    <w:rsid w:val="0016747B"/>
    <w:rsid w:val="00183651"/>
    <w:rsid w:val="001B0A52"/>
    <w:rsid w:val="001B4D31"/>
    <w:rsid w:val="001C43A3"/>
    <w:rsid w:val="001D7A3A"/>
    <w:rsid w:val="001E29BB"/>
    <w:rsid w:val="001E7C48"/>
    <w:rsid w:val="001F7373"/>
    <w:rsid w:val="002174D3"/>
    <w:rsid w:val="00247CE6"/>
    <w:rsid w:val="00282AB3"/>
    <w:rsid w:val="00294F04"/>
    <w:rsid w:val="002A4488"/>
    <w:rsid w:val="002A7805"/>
    <w:rsid w:val="002D53E4"/>
    <w:rsid w:val="002D658A"/>
    <w:rsid w:val="00313A91"/>
    <w:rsid w:val="003154DE"/>
    <w:rsid w:val="00321ECA"/>
    <w:rsid w:val="003244FF"/>
    <w:rsid w:val="003375E9"/>
    <w:rsid w:val="003426D7"/>
    <w:rsid w:val="003470E6"/>
    <w:rsid w:val="0035063B"/>
    <w:rsid w:val="00352A6D"/>
    <w:rsid w:val="00362213"/>
    <w:rsid w:val="003642B2"/>
    <w:rsid w:val="00365891"/>
    <w:rsid w:val="003677C4"/>
    <w:rsid w:val="003A5EFB"/>
    <w:rsid w:val="003D408F"/>
    <w:rsid w:val="003E12BD"/>
    <w:rsid w:val="003F49C2"/>
    <w:rsid w:val="003F65B3"/>
    <w:rsid w:val="00432F6D"/>
    <w:rsid w:val="00441454"/>
    <w:rsid w:val="004560D4"/>
    <w:rsid w:val="00473A2B"/>
    <w:rsid w:val="004816F5"/>
    <w:rsid w:val="004858CD"/>
    <w:rsid w:val="004869AF"/>
    <w:rsid w:val="004870A1"/>
    <w:rsid w:val="004970E1"/>
    <w:rsid w:val="004A05E6"/>
    <w:rsid w:val="004A09A0"/>
    <w:rsid w:val="004A2643"/>
    <w:rsid w:val="004A2DC8"/>
    <w:rsid w:val="004A7259"/>
    <w:rsid w:val="004B0A57"/>
    <w:rsid w:val="004B18BA"/>
    <w:rsid w:val="004C6712"/>
    <w:rsid w:val="004D421E"/>
    <w:rsid w:val="004F001E"/>
    <w:rsid w:val="004F6F8C"/>
    <w:rsid w:val="005140B7"/>
    <w:rsid w:val="005179AD"/>
    <w:rsid w:val="00517CA2"/>
    <w:rsid w:val="00524B27"/>
    <w:rsid w:val="00527A53"/>
    <w:rsid w:val="00544248"/>
    <w:rsid w:val="00555B67"/>
    <w:rsid w:val="00561BBD"/>
    <w:rsid w:val="00562C13"/>
    <w:rsid w:val="00566E67"/>
    <w:rsid w:val="005671EE"/>
    <w:rsid w:val="00571E28"/>
    <w:rsid w:val="0058308C"/>
    <w:rsid w:val="00595994"/>
    <w:rsid w:val="005B58B8"/>
    <w:rsid w:val="005D7E48"/>
    <w:rsid w:val="00601E96"/>
    <w:rsid w:val="00640B0E"/>
    <w:rsid w:val="006420AA"/>
    <w:rsid w:val="00645A0A"/>
    <w:rsid w:val="006658A2"/>
    <w:rsid w:val="006806FF"/>
    <w:rsid w:val="00686F86"/>
    <w:rsid w:val="006B1165"/>
    <w:rsid w:val="006B4657"/>
    <w:rsid w:val="006C27B6"/>
    <w:rsid w:val="006C379E"/>
    <w:rsid w:val="006E0FD1"/>
    <w:rsid w:val="006E10FC"/>
    <w:rsid w:val="006E60F7"/>
    <w:rsid w:val="006F6360"/>
    <w:rsid w:val="00701BD0"/>
    <w:rsid w:val="00723BB3"/>
    <w:rsid w:val="00724A25"/>
    <w:rsid w:val="0073318B"/>
    <w:rsid w:val="00735510"/>
    <w:rsid w:val="00740735"/>
    <w:rsid w:val="00782A0E"/>
    <w:rsid w:val="007879DC"/>
    <w:rsid w:val="007951E2"/>
    <w:rsid w:val="007D7D1E"/>
    <w:rsid w:val="007E05EF"/>
    <w:rsid w:val="007E3830"/>
    <w:rsid w:val="007E40F4"/>
    <w:rsid w:val="007F4AB1"/>
    <w:rsid w:val="00805723"/>
    <w:rsid w:val="00807687"/>
    <w:rsid w:val="00825ACB"/>
    <w:rsid w:val="008312CE"/>
    <w:rsid w:val="00834A11"/>
    <w:rsid w:val="008464B3"/>
    <w:rsid w:val="008530CF"/>
    <w:rsid w:val="008555D2"/>
    <w:rsid w:val="00871EFE"/>
    <w:rsid w:val="00871F00"/>
    <w:rsid w:val="00897FB5"/>
    <w:rsid w:val="008F4423"/>
    <w:rsid w:val="00904E5A"/>
    <w:rsid w:val="009313CA"/>
    <w:rsid w:val="0093235B"/>
    <w:rsid w:val="00940FC2"/>
    <w:rsid w:val="00973BF0"/>
    <w:rsid w:val="0098021D"/>
    <w:rsid w:val="009A77B9"/>
    <w:rsid w:val="009C3897"/>
    <w:rsid w:val="009D6612"/>
    <w:rsid w:val="00A15B97"/>
    <w:rsid w:val="00A16275"/>
    <w:rsid w:val="00A1786A"/>
    <w:rsid w:val="00A379C0"/>
    <w:rsid w:val="00A719C6"/>
    <w:rsid w:val="00A72D87"/>
    <w:rsid w:val="00A77CC0"/>
    <w:rsid w:val="00A836EE"/>
    <w:rsid w:val="00A859B8"/>
    <w:rsid w:val="00A86DF2"/>
    <w:rsid w:val="00A94810"/>
    <w:rsid w:val="00AD64F2"/>
    <w:rsid w:val="00AE5817"/>
    <w:rsid w:val="00B10D33"/>
    <w:rsid w:val="00B41115"/>
    <w:rsid w:val="00B44054"/>
    <w:rsid w:val="00B447D3"/>
    <w:rsid w:val="00B6244A"/>
    <w:rsid w:val="00B7616E"/>
    <w:rsid w:val="00B81FA9"/>
    <w:rsid w:val="00B925B6"/>
    <w:rsid w:val="00BA27D4"/>
    <w:rsid w:val="00BA29B2"/>
    <w:rsid w:val="00BA4BAA"/>
    <w:rsid w:val="00BC0DC0"/>
    <w:rsid w:val="00BC30C6"/>
    <w:rsid w:val="00BC50D5"/>
    <w:rsid w:val="00BC73CF"/>
    <w:rsid w:val="00BC749F"/>
    <w:rsid w:val="00BD5395"/>
    <w:rsid w:val="00BE0969"/>
    <w:rsid w:val="00BE2F8B"/>
    <w:rsid w:val="00BE4836"/>
    <w:rsid w:val="00BE6440"/>
    <w:rsid w:val="00BF30E4"/>
    <w:rsid w:val="00BF4037"/>
    <w:rsid w:val="00C05F6F"/>
    <w:rsid w:val="00C0663A"/>
    <w:rsid w:val="00C26198"/>
    <w:rsid w:val="00C404F1"/>
    <w:rsid w:val="00C519EC"/>
    <w:rsid w:val="00C80DB0"/>
    <w:rsid w:val="00C84841"/>
    <w:rsid w:val="00C9371C"/>
    <w:rsid w:val="00C979A0"/>
    <w:rsid w:val="00CD2791"/>
    <w:rsid w:val="00CE2D87"/>
    <w:rsid w:val="00CE35D4"/>
    <w:rsid w:val="00CF7C8E"/>
    <w:rsid w:val="00D07800"/>
    <w:rsid w:val="00D14A78"/>
    <w:rsid w:val="00D20E2F"/>
    <w:rsid w:val="00D23409"/>
    <w:rsid w:val="00D26D81"/>
    <w:rsid w:val="00D35DB3"/>
    <w:rsid w:val="00D510F2"/>
    <w:rsid w:val="00D72253"/>
    <w:rsid w:val="00D83079"/>
    <w:rsid w:val="00D935A4"/>
    <w:rsid w:val="00DC0A8B"/>
    <w:rsid w:val="00DD3F99"/>
    <w:rsid w:val="00DF2B52"/>
    <w:rsid w:val="00DF468A"/>
    <w:rsid w:val="00E031A1"/>
    <w:rsid w:val="00E03C5D"/>
    <w:rsid w:val="00E05A04"/>
    <w:rsid w:val="00E1080E"/>
    <w:rsid w:val="00E11B3B"/>
    <w:rsid w:val="00E36A2A"/>
    <w:rsid w:val="00E627FE"/>
    <w:rsid w:val="00E72F13"/>
    <w:rsid w:val="00E733F3"/>
    <w:rsid w:val="00E752A8"/>
    <w:rsid w:val="00E774F4"/>
    <w:rsid w:val="00E83FDC"/>
    <w:rsid w:val="00E84FB0"/>
    <w:rsid w:val="00EA3AF7"/>
    <w:rsid w:val="00EA7BBC"/>
    <w:rsid w:val="00ED38EC"/>
    <w:rsid w:val="00ED5104"/>
    <w:rsid w:val="00EE082E"/>
    <w:rsid w:val="00EE22CF"/>
    <w:rsid w:val="00EF6845"/>
    <w:rsid w:val="00F24154"/>
    <w:rsid w:val="00F320DC"/>
    <w:rsid w:val="00F4439B"/>
    <w:rsid w:val="00F46A01"/>
    <w:rsid w:val="00F706DB"/>
    <w:rsid w:val="00F800B0"/>
    <w:rsid w:val="00F94A28"/>
    <w:rsid w:val="00FA1EA7"/>
    <w:rsid w:val="00FA49B4"/>
    <w:rsid w:val="00FB49AA"/>
    <w:rsid w:val="00FC4151"/>
    <w:rsid w:val="00FD409E"/>
    <w:rsid w:val="00FD4112"/>
    <w:rsid w:val="00FE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47087"/>
  <w15:chartTrackingRefBased/>
  <w15:docId w15:val="{924D3412-C241-4E54-B763-C24C4EAC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83079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5B3"/>
    <w:rPr>
      <w:lang w:val="es-MX"/>
    </w:rPr>
  </w:style>
  <w:style w:type="paragraph" w:styleId="Footer">
    <w:name w:val="footer"/>
    <w:basedOn w:val="Normal"/>
    <w:link w:val="FooterChar"/>
    <w:unhideWhenUsed/>
    <w:rsid w:val="003F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5B3"/>
    <w:rPr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B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BBC"/>
    <w:rPr>
      <w:rFonts w:ascii="Segoe UI" w:hAnsi="Segoe UI" w:cs="Segoe UI"/>
      <w:sz w:val="18"/>
      <w:szCs w:val="18"/>
      <w:lang w:val="es-MX"/>
    </w:rPr>
  </w:style>
  <w:style w:type="character" w:styleId="Hyperlink">
    <w:name w:val="Hyperlink"/>
    <w:rsid w:val="009C3897"/>
    <w:rPr>
      <w:color w:val="0000FF"/>
      <w:u w:val="single"/>
    </w:rPr>
  </w:style>
  <w:style w:type="paragraph" w:styleId="NoSpacing">
    <w:name w:val="No Spacing"/>
    <w:uiPriority w:val="1"/>
    <w:qFormat/>
    <w:rsid w:val="00D83079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ustici@.Ne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stici@.Net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ts.com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ramientos,%20procedimientos%20internacionales,%20juicios%20de%20amparo,%20juicios%20y%20procedimientos%20administrativos%20de%20la%20PGR,%20acciones%20de%20inconstitucionalidad,%20controversias%20constitucionales%20y%20otros%20procedimientos%20constitucionales%20(juicios%20constitucionales)%20y%20procesos%20penales%20federales,%20as%C3%AD%20como%20su%20implementaci%C3%B3n%20en%20las%2032%20Delegaciones%20de%20la%20Procuradur%C3%ADa%20General%20de%20la%20Rep%C3%BAblica%20y%20Oficinas%20Centrales" TargetMode="External"/><Relationship Id="rId2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ramientos,%20procedimientos%20internacionales,%20juicios%20de%20amparo,%20juicios%20y%20procedimientos%20administrativos%20de%20la%20PGR,%20acciones%20de%20inconstitucionalidad,%20controversias%20constitucionales%20y%20otros%20procedimientos%20constitucionales%20(juicios%20constitucionales)%20y%20procesos%20penales%20federales,%20as%C3%AD%20como%20su%20implementaci%C3%B3n%20en%20las%2032%20Delegaciones%20de%20la%20Procuradur%C3%ADa%20General%20de%20la%20Rep%C3%BAblica%20y%20Oficinas%20Centrales" TargetMode="External"/><Relationship Id="rId1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ramientos,%20procedimientos%20internacionales,%20juicios%20de%20amparo,%20juicios%20y%20procedimientos%20administrativos%20de%20la%20PGR,%20acciones%20de%20inconstitucionalidad,%20controversias%20constitucionales%20y%20otros%20procedimientos%20constitucionales%20(juicios%20constitucionales)%20y%20procesos%20penales%20federales,%20as%C3%AD%20como%20su%20implementaci%C3%B3n%20en%20las%2032%20Delegaciones%20de%20la%20Procuradur%C3%ADa%20General%20de%20la%20Rep%C3%BAblica%20y%20Oficinas%20Centrales" TargetMode="External"/><Relationship Id="rId5" Type="http://schemas.openxmlformats.org/officeDocument/2006/relationships/image" Target="media/image1.png"/><Relationship Id="rId4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ramientos,%20procedimientos%20internacionales,%20juicios%20de%20amparo,%20juicios%20y%20procedimientos%20administrativos%20de%20la%20PGR,%20acciones%20de%20inconstitucionalidad,%20controversias%20constitucionales%20y%20otros%20procedimientos%20constitucionales%20(juicios%20constitucionales)%20y%20procesos%20penales%20federales,%20as%C3%AD%20como%20su%20implementaci%C3%B3n%20en%20las%2032%20Delegaciones%20de%20la%20Procuradur%C3%ADa%20General%20de%20la%20Rep%C3%BAblica%20y%20Oficinas%20Centra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7AC87A5D1EF4AB94C3B9DC414B2B7" ma:contentTypeVersion="0" ma:contentTypeDescription="Create a new document." ma:contentTypeScope="" ma:versionID="8f156859f20db859338c836f4f86c7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45F88-74B9-489B-BA0C-E5078477A9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2EE6AC-E283-48BC-B1EF-75EBC6B977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7E85FB-340C-404E-8D2B-D32877E130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7DA274-C9FA-4542-9332-24C681C6E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Murrieta Zavala</dc:creator>
  <cp:keywords/>
  <dc:description/>
  <cp:lastModifiedBy>Francia López Gastélum</cp:lastModifiedBy>
  <cp:revision>25</cp:revision>
  <cp:lastPrinted>2015-12-15T00:32:00Z</cp:lastPrinted>
  <dcterms:created xsi:type="dcterms:W3CDTF">2016-01-14T15:57:00Z</dcterms:created>
  <dcterms:modified xsi:type="dcterms:W3CDTF">2016-05-21T00:17:00Z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0x0101003717AC87A5D1EF4AB94C3B9DC414B2B7</vt:lpwstr>
  </property>
</Properties>
</file>