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Karo, E., &amp; Kattel, R. (2016). Innovation and the state: Towards an evolutionary theory of policy capacity. En X. Wu, M. Howlett, &amp; M. Ramesh (Eds.), Policy capacity: State and societal perspectives (cap. 20). Palgrave. (Working Papers in Technology Governance and Economic Dynamics no. 72, The Other Canon Foundation/Tallinn University of Technology)</w:t>
      </w:r>
    </w:p>
    <w:p>
      <w:pPr>
        <w:jc w:val="center"/>
      </w:pPr>
      <w:r>
        <w:rPr>
          <w:b/>
          <w:color w:val="E65100"/>
          <w:sz w:val="22"/>
        </w:rPr>
        <w:t>● IMPORTANTE ● Puntaje matriz: 17/27</w:t>
      </w:r>
    </w:p>
    <w:p/>
    <w:p>
      <w:pPr>
        <w:pStyle w:val="Heading1"/>
      </w:pPr>
      <w:r>
        <w:rPr>
          <w:color w:val="1B4332"/>
        </w:rPr>
        <w:t>PARTE I — FICHA GENÉRICA DEL ARTÍCULO</w:t>
      </w:r>
    </w:p>
    <w:p>
      <w:pPr>
        <w:pStyle w:val="Heading2"/>
      </w:pPr>
      <w:r>
        <w:rPr>
          <w:color w:val="1B4332"/>
        </w:rPr>
        <w:t>1 | Referencia bibliográfica (APA 7)</w:t>
      </w:r>
    </w:p>
    <w:p>
      <w:r>
        <w:rPr>
          <w:sz w:val="20"/>
        </w:rPr>
        <w:t>Karo, E., &amp; Kattel, R. (2016). Innovation and the state: Towards an evolutionary theory of policy capacity. En X. Wu, M. Howlett, &amp; M. Ramesh (Eds.), Policy capacity: State and societal perspectives (cap. 20). Palgrave. (Working Papers in Technology Governance and Economic Dynamics no. 72, The Other Canon Foundation/Tallinn University of Technology)</w:t>
      </w:r>
    </w:p>
    <w:p>
      <w:pPr>
        <w:pStyle w:val="Heading2"/>
      </w:pPr>
      <w:r>
        <w:rPr>
          <w:color w:val="1B4332"/>
        </w:rPr>
        <w:t>2 | Objetivo explícito del autor</w:t>
      </w:r>
    </w:p>
    <w:p>
      <w:r>
        <w:rPr>
          <w:sz w:val="20"/>
        </w:rPr>
        <w:t>Proponer un enfoque analítico evolutivo para la capacidad de políticas públicas con enfoque específico en dominios donde la incertidumbre y la necesidad de innovación política constituyen preocupaciones centrales para la efectividad de las políticas. Los autores buscan operacionalizar elementos evolutivos de capacidad y ilustrar su valor a través del análisis de políticas de ciencia, tecnología e innovación en tres Tigres Asiáticos.</w:t>
      </w:r>
    </w:p>
    <w:p>
      <w:pPr>
        <w:ind w:left="567" w:right="567"/>
      </w:pPr>
      <w:r>
        <w:rPr>
          <w:i/>
          <w:color w:val="444444"/>
          <w:sz w:val="19"/>
        </w:rPr>
        <w:t>""We propose an evolutionary analytical approach to policy capacity with a specific focus on policy domains, where uncertainty and need for policy innovations, or novelty creation, is a central concern for effective policies" (p. 1)"</w:t>
      </w:r>
    </w:p>
    <w:p>
      <w:pPr>
        <w:pStyle w:val="Heading2"/>
      </w:pPr>
      <w:r>
        <w:rPr>
          <w:color w:val="1B4332"/>
        </w:rPr>
        <w:t>3 | Pregunta de investigación</w:t>
      </w:r>
    </w:p>
    <w:p>
      <w:pPr>
        <w:ind w:left="567" w:right="567"/>
      </w:pPr>
      <w:r>
        <w:rPr>
          <w:i/>
          <w:color w:val="444444"/>
          <w:sz w:val="19"/>
        </w:rPr>
        <w:t>"¿Qué pasaría si nuestras herramientas y conceptos epistemológicos sobre el rol del Estado en innovación fueran más importantes que la posición ideacional que adoptamos? Los autores plantean que al comprender mejor las capacidades del sector público para lidiar con innovaciones, también se comprende mejor qué debería hacer el Estado en el ámbito de la innovación."</w:t>
      </w:r>
    </w:p>
    <w:p>
      <w:pPr>
        <w:pStyle w:val="Heading2"/>
      </w:pPr>
      <w:r>
        <w:rPr>
          <w:color w:val="1B4332"/>
        </w:rPr>
        <w:t>4 | Tesis central</w:t>
      </w:r>
    </w:p>
    <w:p>
      <w:r>
        <w:rPr>
          <w:sz w:val="20"/>
        </w:rPr>
        <w:t>La capacidad de políticas públicas debe conceptualizarse evolutivamente a través de rutinas organizacionales, búsqueda y selección, y ambientes de retroalimentación, especialmente en dominios caracterizados por incertidumbre e innovación. Los enfoques tradicionales de capacidad estatal son demasiado estáticos y teleológicos para capturar la naturaleza incierta y contextual de la innovación. Una perspectiva evolutiva permite comprender tanto factores exógenos como endógenos que influyen en los procesos de creación de novedad y capacidades organizacionales. Esta aproximación revela que las innovaciones gubernamentales y de mercado/sociedad se interconectan altamente en contextos de incertidumbre política.</w:t>
      </w:r>
    </w:p>
    <w:p>
      <w:pPr>
        <w:ind w:left="567" w:right="567"/>
      </w:pPr>
      <w:r>
        <w:rPr>
          <w:i/>
          <w:color w:val="444444"/>
          <w:sz w:val="19"/>
        </w:rPr>
        <w:t>""The concept of capacity itself remains static in such analytical frameworks – capacity is either there or not" (p. 4)"</w:t>
      </w:r>
    </w:p>
    <w:p>
      <w:pPr>
        <w:pStyle w:val="Heading2"/>
      </w:pPr>
      <w:r>
        <w:rPr>
          <w:color w:val="1B4332"/>
        </w:rPr>
        <w:t>5 | Marco teórico utilizado</w:t>
      </w:r>
    </w:p>
    <w:p>
      <w:r>
        <w:rPr>
          <w:sz w:val="20"/>
        </w:rPr>
        <w:t>1. **Marco de Capacidad de Políticas de Wu et al. (2015)**: Framework genérico que define capacidad como conjunto de habilidades y recursos necesarios para funciones políticas (político, analítico, operacional)</w:t>
        <w:br/>
        <w:t>2. **Teoría Evolutiva Neo-Schumpeteriana**: Enfoque de Nelson &amp; Winter sobre cambio económico usando heurística darwiniana (variación, selección, retención)</w:t>
        <w:br/>
        <w:t>3. **Teoría de Rutinas Organizacionales**: Conceptualización de rutinas como capacidades ejecutables aprendidas organizacionalmente</w:t>
        <w:br/>
        <w:t>4. **Sistemas de Innovación**: Marco analítico para estudiar desarrollos tecno-económicos y políticas de apoyo a la innovación</w:t>
        <w:br/>
        <w:t>5. **Capacidades Dinámicas Gerenciales**: Literatura de gestión sobre capacidades organizacionales adaptativas</w:t>
      </w:r>
    </w:p>
    <w:p>
      <w:pPr>
        <w:pStyle w:val="Heading2"/>
      </w:pPr>
      <w:r>
        <w:rPr>
          <w:color w:val="1B4332"/>
        </w:rPr>
        <w:t>7 | Conceptos clave</w:t>
      </w:r>
    </w:p>
    <w:p>
      <w:r>
        <w:rPr>
          <w:sz w:val="20"/>
        </w:rPr>
        <w:t>1. **Capacidad de Política**: "Set of skills and resources – or competencies and capabilities – necessary to perform policy functions" (p. 3)</w:t>
        <w:br/>
        <w:t>2. **Rutinas Organizacionales**: "An executable capability for repeated performance in some context that has been learned by an organization in response to selective pressures" (p. 7, citando Cohen et al., 1996)</w:t>
        <w:br/>
        <w:t>3. **Innovación**: "Generation, acceptance, and implementation of new ideas, processes, products or services" (p. 2, citando Thompson, 1965)</w:t>
        <w:br/>
        <w:t>4. **Búsqueda (Search)**: "All those organizational activities which are associated with the evaluation of current routines and which may lead to their modification" (p. 8)</w:t>
        <w:br/>
        <w:t>5. **Selección**: Proceso análogo a la 'selección natural' en evolución, o competencia entre diferentes rutinas y organizaciones con resultados inciertos (p. 8)</w:t>
        <w:br/>
        <w:t>6. **Creación de Novedad**: Capacidad endógena del sistema para producir novedad tecnológica, procesal, institucional u organizacional (p. 2-3)</w:t>
      </w:r>
    </w:p>
    <w:p>
      <w:pPr>
        <w:pStyle w:val="Heading2"/>
      </w:pPr>
      <w:r>
        <w:rPr>
          <w:color w:val="1B4332"/>
        </w:rPr>
        <w:t>8 | Reconstrucción analítica del argumento</w:t>
      </w:r>
    </w:p>
    <w:p>
      <w:r>
        <w:rPr>
          <w:sz w:val="20"/>
        </w:rPr>
        <w:t>Los autores argumentan que los enfoques tradicionales de capacidad estatal son inadecuados para dominios caracterizados por incertidumbre e innovación porque: 1) operacionalizan capacidad de manera estática y teleológica; 2) se enfocan predominantemente en variables exógenas. Proponen que la capacidad debe entenderse evolutivamente a través de rutinas organizacionales que permiten tanto estabilidad como búsqueda de novedad, procesos de selección que determinan qué rutinas sobreviven, y ambientes de retroalimentación que facilitan aprendizaje adaptativo. Este enfoque revela que la innovación gubernamental y de mercado están altamente interconectadas, requiriendo capacidades estatales dinámicas que puedan manejar la incertidumbre inherente a los procesos de innovación.</w:t>
      </w:r>
    </w:p>
    <w:p>
      <w:pPr>
        <w:pStyle w:val="Heading2"/>
      </w:pPr>
      <w:r>
        <w:rPr>
          <w:color w:val="1B4332"/>
        </w:rPr>
        <w:t>10 | Aportes principales</w:t>
      </w:r>
    </w:p>
    <w:p>
      <w:r>
        <w:rPr>
          <w:sz w:val="20"/>
        </w:rPr>
        <w:t>1. **Marco conceptual evolutivo**: Primera aplicación sistemática de teoría evolutiva neo-schumpeteriana al análisis de capacidad de políticas públicas</w:t>
        <w:br/>
        <w:t>2. **Operacionalización dinámica**: Propuesta de elementos analíticos concretos (rutinas, búsqueda/selección, retroalimentación) para superar limitaciones estáticas de enfoques tradicionales</w:t>
        <w:br/>
        <w:t>3. **Integración teórica**: Puente entre literatura de capacidad estatal, teoría evolutiva de innovación y estudios de políticas públicas</w:t>
        <w:br/>
        <w:t>4. **Enfoque en incertidumbre**: Marco específicamente diseñado para dominios de política caracterizados por alta incertidumbre y necesidad de innovación</w:t>
      </w:r>
    </w:p>
    <w:p>
      <w:pPr>
        <w:pStyle w:val="Heading2"/>
      </w:pPr>
      <w:r>
        <w:rPr>
          <w:color w:val="1B4332"/>
        </w:rPr>
        <w:t>11 | Limitaciones</w:t>
      </w:r>
    </w:p>
    <w:p>
      <w:r>
        <w:rPr>
          <w:sz w:val="20"/>
        </w:rPr>
        <w:t>1. **Desarrollo empírico limitado**: El marco propuesto requiere mayor validación empírica y operacionalización práctica</w:t>
        <w:br/>
        <w:t>2. **Complejidad conceptual**: La aplicación del marco evolutivo puede resultar compleja para practicantes de políticas públicas</w:t>
        <w:br/>
        <w:t>3. **Alcance específico**: El enfoque está diseñado para dominios de alta incertidumbre, limitando su aplicabilidad general</w:t>
      </w:r>
    </w:p>
    <w:p>
      <w:pPr>
        <w:pStyle w:val="Heading2"/>
      </w:pPr>
      <w:r>
        <w:rPr>
          <w:color w:val="1B4332"/>
        </w:rPr>
        <w:t>12 | Conexión con debates mayores</w:t>
      </w:r>
    </w:p>
    <w:p>
      <w:r>
        <w:rPr>
          <w:sz w:val="20"/>
        </w:rPr>
        <w:t>El trabajo contribuye al debate sobre **state capacity** al proponer una conceptualización más dinámica que supera enfoques weberianos tradicionales. Se conecta con debates sobre **capacity building** al enfatizar factores endógenos de desarrollo de capacidades. Desafía premisas de **Nueva Gestión Pública** al argumentar que enfoques experimentales tipo start-up pueden no ser apropiados para todos los contextos. Contribuye a discusiones sobre **gobernanza multinivel** al reconocer la co-evolución de organizaciones en sistemas de innovación complejos.</w:t>
      </w:r>
    </w:p>
    <w:p>
      <w:pPr>
        <w:pStyle w:val="Heading2"/>
      </w:pPr>
      <w:r>
        <w:rPr>
          <w:color w:val="1B4332"/>
        </w:rPr>
        <w:t>13 | Observaciones críticas propias</w:t>
      </w:r>
    </w:p>
    <w:p>
      <w:r>
        <w:rPr>
          <w:sz w:val="20"/>
        </w:rPr>
        <w:t>El marco propuesto, aunque conceptualmente rico, presenta tensiones no completamente resueltas entre la necesidad de rutinas estables y la búsqueda constante de novedad. Los autores no problematizan suficientemente cómo las organizaciones públicas pueden equilibrar estas demandas contradictorias. El supuesto de que mejor comprensión epistemológica conduce automáticamente a mejores prescripciones políticas permanece sin validar. La aplicabilidad del marco a contextos institucionales diversos requiere mayor elaboración teórica y empírica.</w:t>
      </w:r>
    </w:p>
    <w:p>
      <w:pPr>
        <w:pStyle w:val="Heading2"/>
      </w:pPr>
      <w:r>
        <w:rPr>
          <w:color w:val="1B4332"/>
        </w:rPr>
        <w:t>6 | Tipo de investigación y metodología</w:t>
      </w:r>
    </w:p>
    <w:p>
      <w:r>
        <w:rPr>
          <w:b/>
          <w:sz w:val="20"/>
        </w:rPr>
        <w:t xml:space="preserve">Diseño: </w:t>
      </w:r>
      <w:r>
        <w:rPr>
          <w:sz w:val="20"/>
        </w:rPr>
        <w:t>Estudio teórico-conceptual con ilustración empírica estilizada</w:t>
      </w:r>
    </w:p>
    <w:p>
      <w:r>
        <w:rPr>
          <w:b/>
          <w:sz w:val="20"/>
        </w:rPr>
        <w:t xml:space="preserve">Universo: </w:t>
      </w:r>
      <w:r>
        <w:rPr>
          <w:sz w:val="20"/>
        </w:rPr>
        <w:t>Políticas de ciencia, tecnología e innovación en países en desarrollo</w:t>
      </w:r>
    </w:p>
    <w:p>
      <w:r>
        <w:rPr>
          <w:b/>
          <w:sz w:val="20"/>
        </w:rPr>
        <w:t xml:space="preserve">Muestra: </w:t>
      </w:r>
      <w:r>
        <w:rPr>
          <w:sz w:val="20"/>
        </w:rPr>
        <w:t>Tres Tigres Asiáticos (Taiwán, Corea del Sur, Singapur)</w:t>
      </w:r>
    </w:p>
    <w:p>
      <w:r>
        <w:rPr>
          <w:b/>
          <w:sz w:val="20"/>
        </w:rPr>
        <w:t xml:space="preserve">Instrumentos: </w:t>
      </w:r>
      <w:r>
        <w:rPr>
          <w:sz w:val="20"/>
        </w:rPr>
        <w:t>Análisis documental y revisión bibliográfica</w:t>
      </w:r>
    </w:p>
    <w:p>
      <w:r>
        <w:rPr>
          <w:b/>
          <w:sz w:val="20"/>
        </w:rPr>
        <w:t xml:space="preserve">Variable dependiente: </w:t>
      </w:r>
      <w:r>
        <w:rPr>
          <w:sz w:val="20"/>
        </w:rPr>
        <w:t>Evolución de capacidades de políticas STI</w:t>
      </w:r>
    </w:p>
    <w:p>
      <w:r>
        <w:rPr>
          <w:b/>
          <w:sz w:val="20"/>
        </w:rPr>
        <w:t xml:space="preserve">Variables independientes: </w:t>
      </w:r>
      <w:r>
        <w:rPr>
          <w:sz w:val="20"/>
        </w:rPr>
        <w:t>Rutinas organizacionales, procesos de búsqueda/selección, ambientes de retroalimentación</w:t>
      </w:r>
    </w:p>
    <w:p>
      <w:r>
        <w:rPr>
          <w:b/>
          <w:sz w:val="20"/>
        </w:rPr>
        <w:t xml:space="preserve">Análisis: </w:t>
      </w:r>
      <w:r>
        <w:rPr>
          <w:sz w:val="20"/>
        </w:rPr>
        <w:t>Análisis evolutivo comparativo estilizado</w:t>
      </w:r>
    </w:p>
    <w:p>
      <w:r>
        <w:rPr>
          <w:b/>
          <w:sz w:val="20"/>
        </w:rPr>
        <w:t xml:space="preserve">País/Nivel de gobierno: </w:t>
      </w:r>
      <w:r>
        <w:rPr>
          <w:sz w:val="20"/>
        </w:rPr>
        <w:t>Nacional (Taiwán, Corea del Sur, Singapur)</w:t>
      </w:r>
    </w:p>
    <w:p>
      <w:pPr>
        <w:pStyle w:val="Heading2"/>
      </w:pPr>
      <w:r>
        <w:rPr>
          <w:color w:val="1B4332"/>
        </w:rPr>
        <w:t>9 | Evidencia empírica / estadística</w:t>
      </w:r>
    </w:p>
    <w:p>
      <w:r>
        <w:rPr>
          <w:sz w:val="20"/>
        </w:rPr>
        <w:t>El artículo es principalmente teórico-conceptual. Los autores prometen ilustrar su marco evolutivo a través del análisis estilizado de la evolución de capacidades STI en Taiwán, Corea del Sur y Singapur, pero esta sección no está incluida en el texto proporcionado. La evidencia presentada es conceptual, basada en la revisión crítica de literatura sobre capacidad estatal, teoría evolutiva e innovación. No se presentan datos estadísticos o índices cuantitativos en la porción disponible del documento.</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Karo y Kattel proponen una reconceptualización fundamental de la capacidad de políticas públicas desde una perspectiva evolutiva, argumentando que los enfoques tradicionales son inadecuados para dominios caracterizados por incertidumbre e innovación. Su marco analítico, basado en rutinas organizacionales, procesos de búsqueda/selección y ambientes de retroalimentación, ofrece herramientas conceptuales más dinámicas para comprender cómo las organizaciones públicas desarrollan capacidades para la innovación. Este enfoque es particularmente relevante en la era actual donde los gobiernos enfrentan desafíos socio-económicos complejos que requieren soluciones innovadoras. Al integrar teoría evolutiva con estudios de políticas públicas, los autores contribuyen significativamente al debate sobre capacidad estatal, sugiriendo que la comprensión epistemológica de las capacidades gubernamentales es tan importante como las posiciones ideacionales sobre el rol del Estado. Su trabajo abre nuevas avenidas para investigación empírica y desarrollo teórico en el campo de la capacidad de políticas públicas.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C8E6C9"/>
          </w:tcPr>
          <w:p>
            <w:r>
              <w:rPr>
                <w:b/>
                <w:color w:val="2E7D32"/>
                <w:sz w:val="16"/>
              </w:rPr>
              <w:t xml:space="preserve">[2] </w:t>
            </w:r>
            <w:r>
              <w:rPr>
                <w:sz w:val="14"/>
              </w:rPr>
              <w:t>Propone concepto de "search and selection" como capacidad analítica individual para proces</w:t>
            </w:r>
          </w:p>
        </w:tc>
        <w:tc>
          <w:tcPr>
            <w:tcW w:type="dxa" w:w="2351"/>
            <w:shd w:val="clear" w:color="auto" w:fill="FFF9C4"/>
          </w:tcPr>
          <w:p>
            <w:r>
              <w:rPr>
                <w:b/>
                <w:color w:val="F57F17"/>
                <w:sz w:val="16"/>
              </w:rPr>
              <w:t xml:space="preserve">[1] </w:t>
            </w:r>
            <w:r>
              <w:rPr>
                <w:sz w:val="14"/>
              </w:rPr>
              <w:t>Mención tangencial de capacidades de liderazgo individual en contextos de incertidumbre</w:t>
            </w:r>
          </w:p>
        </w:tc>
        <w:tc>
          <w:tcPr>
            <w:tcW w:type="dxa" w:w="2351"/>
            <w:shd w:val="clear" w:color="auto" w:fill="FFF9C4"/>
          </w:tcPr>
          <w:p>
            <w:r>
              <w:rPr>
                <w:b/>
                <w:color w:val="F57F17"/>
                <w:sz w:val="16"/>
              </w:rPr>
              <w:t xml:space="preserve">[1] </w:t>
            </w:r>
            <w:r>
              <w:rPr>
                <w:sz w:val="14"/>
              </w:rPr>
              <w:t>Referencia indirecta a capacidades de negociación política en contextos de incertidumbre</w:t>
            </w:r>
          </w:p>
        </w:tc>
      </w:tr>
      <w:tr>
        <w:tc>
          <w:tcPr>
            <w:tcW w:type="dxa" w:w="2351"/>
            <w:shd w:val="clear" w:color="auto" w:fill="D8F3DC"/>
          </w:tcPr>
          <w:p>
            <w:r>
              <w:rPr>
                <w:b/>
                <w:sz w:val="16"/>
              </w:rPr>
              <w:t>ORGANIZACIONAL</w:t>
            </w:r>
          </w:p>
        </w:tc>
        <w:tc>
          <w:tcPr>
            <w:tcW w:type="dxa" w:w="2351"/>
            <w:shd w:val="clear" w:color="auto" w:fill="2E7D32"/>
          </w:tcPr>
          <w:p>
            <w:r>
              <w:rPr>
                <w:b/>
                <w:color w:val="FFFFFF"/>
                <w:sz w:val="16"/>
              </w:rPr>
              <w:t xml:space="preserve">[3] </w:t>
            </w:r>
            <w:r>
              <w:rPr>
                <w:sz w:val="14"/>
              </w:rPr>
              <w:t>Desarrolla extensamente "rutinas organizacionales" como infraestructura analítica organiza</w:t>
            </w:r>
          </w:p>
        </w:tc>
        <w:tc>
          <w:tcPr>
            <w:tcW w:type="dxa" w:w="2351"/>
            <w:shd w:val="clear" w:color="auto" w:fill="2E7D32"/>
          </w:tcPr>
          <w:p>
            <w:r>
              <w:rPr>
                <w:b/>
                <w:color w:val="FFFFFF"/>
                <w:sz w:val="16"/>
              </w:rPr>
              <w:t xml:space="preserve">[3] </w:t>
            </w:r>
            <w:r>
              <w:rPr>
                <w:sz w:val="14"/>
              </w:rPr>
              <w:t>Marco central de "rutinas organizacionales" y coordinación interna como capacidad operativ</w:t>
            </w:r>
          </w:p>
        </w:tc>
        <w:tc>
          <w:tcPr>
            <w:tcW w:type="dxa" w:w="2351"/>
            <w:shd w:val="clear" w:color="auto" w:fill="C8E6C9"/>
          </w:tcPr>
          <w:p>
            <w:r>
              <w:rPr>
                <w:b/>
                <w:color w:val="2E7D32"/>
                <w:sz w:val="16"/>
              </w:rPr>
              <w:t xml:space="preserve">[2] </w:t>
            </w:r>
            <w:r>
              <w:rPr>
                <w:sz w:val="14"/>
              </w:rPr>
              <w:t>Desarrolla concepto de reputación organizacional y posicionamiento en sistemas de innovaci</w:t>
            </w:r>
          </w:p>
        </w:tc>
      </w:tr>
      <w:tr>
        <w:tc>
          <w:tcPr>
            <w:tcW w:type="dxa" w:w="2351"/>
            <w:shd w:val="clear" w:color="auto" w:fill="D8F3DC"/>
          </w:tcPr>
          <w:p>
            <w:r>
              <w:rPr>
                <w:b/>
                <w:sz w:val="16"/>
              </w:rPr>
              <w:t>SISTÉMICO</w:t>
            </w:r>
          </w:p>
        </w:tc>
        <w:tc>
          <w:tcPr>
            <w:tcW w:type="dxa" w:w="2351"/>
            <w:shd w:val="clear" w:color="auto" w:fill="C8E6C9"/>
          </w:tcPr>
          <w:p>
            <w:r>
              <w:rPr>
                <w:b/>
                <w:color w:val="2E7D32"/>
                <w:sz w:val="16"/>
              </w:rPr>
              <w:t xml:space="preserve">[2] </w:t>
            </w:r>
            <w:r>
              <w:rPr>
                <w:sz w:val="14"/>
              </w:rPr>
              <w:t xml:space="preserve">Discute "sistemas de innovación" y "feedback environments" como infraestructura analítica </w:t>
            </w:r>
          </w:p>
        </w:tc>
        <w:tc>
          <w:tcPr>
            <w:tcW w:type="dxa" w:w="2351"/>
            <w:shd w:val="clear" w:color="auto" w:fill="C8E6C9"/>
          </w:tcPr>
          <w:p>
            <w:r>
              <w:rPr>
                <w:b/>
                <w:color w:val="2E7D32"/>
                <w:sz w:val="16"/>
              </w:rPr>
              <w:t xml:space="preserve">[2] </w:t>
            </w:r>
            <w:r>
              <w:rPr>
                <w:sz w:val="14"/>
              </w:rPr>
              <w:t>Aborda relaciones intergubernamentales y marcos institucionales en sistemas de innovación</w:t>
            </w:r>
          </w:p>
        </w:tc>
        <w:tc>
          <w:tcPr>
            <w:tcW w:type="dxa" w:w="2351"/>
            <w:shd w:val="clear" w:color="auto" w:fill="FFF9C4"/>
          </w:tcPr>
          <w:p>
            <w:r>
              <w:rPr>
                <w:b/>
                <w:color w:val="F57F17"/>
                <w:sz w:val="16"/>
              </w:rPr>
              <w:t xml:space="preserve">[1] </w:t>
            </w:r>
            <w:r>
              <w:rPr>
                <w:sz w:val="14"/>
              </w:rPr>
              <w:t>Mención tangencial de legitimidad estatal en procesos de innovación</w:t>
            </w:r>
          </w:p>
        </w:tc>
      </w:tr>
    </w:tbl>
    <w:p/>
    <w:p>
      <w:r>
        <w:rPr>
          <w:sz w:val="18"/>
        </w:rPr>
        <w:t>AI: 2 | Propone concepto de "search and selection" como capacidad analítica individual para procesar incertidumbre e innovación</w:t>
        <w:br/>
        <w:t>AO: 3 | Desarrolla extensamente "rutinas organizacionales" como infraestructura analítica organizacional y memoria institucional evolutiva</w:t>
        <w:br/>
        <w:t>AS: 2 | Discute "sistemas de innovación" y "feedback environments" como infraestructura analítica sistémica de datos y conocimiento</w:t>
        <w:br/>
        <w:t>OI: 1 | Mención tangencial de capacidades de liderazgo individual en contextos de incertidumbre</w:t>
        <w:br/>
        <w:t>OO: 3 | Marco central de "rutinas organizacionales" y coordinación interna como capacidad operativa organizacional</w:t>
        <w:br/>
        <w:t>OS: 2 | Aborda relaciones intergubernamentales y marcos institucionales en sistemas de innovación</w:t>
        <w:br/>
        <w:t>PI: 1 | Referencia indirecta a capacidades de negociación política en contextos de incertidumbre</w:t>
        <w:br/>
        <w:t>PO: 2 | Desarrolla concepto de reputación organizacional y posicionamiento en sistemas de innovación</w:t>
        <w:br/>
        <w:t>PS: 1 | Mención tangencial de legitimidad estatal en procesos de innovación</w:t>
        <w:br/>
        <w:t>CELDAS_PRINCIPALES: AO, OO, AS</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No propone indicadores operacionalizables. Artículo teórico/conceptual.</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ANCLAJE DURO: Establecimiento de rutinas organizacionales estandarizadas; sistemas de búsqueda y selección formalizados; protocolos de feedback institucional</w:t>
              <w:br/>
              <w:t>ANCLAJE BLANDO: Transferencia de conocimiento tácito; aprendizaje organizacional; sensemaking para manejo de incertidumbre</w:t>
              <w:br/>
              <w:t>REFORMA ESTRUCTURAL: Transformación de burocracias weberianas hacia organizaciones evolutivas; creación de sistemas de innovación</w:t>
              <w:br/>
              <w:t>OTRO: "Punctuated selection environments" — intervenciones episódicas de evaluación y reorientación estratégica</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Rutinas organizacionales → codificación de conocimiento tácito → aumento AO/OO → moderado por capacidad de autotransformación</w:t>
              <w:br/>
              <w:t>Sistemas de búsqueda y selección → procesamiento de incertidumbre → aumento AI → moderado por feedback environments</w:t>
              <w:br/>
              <w:t>Variedad organizacional → experimentación → innovación en capacidades → moderado por presiones de selección exógenas</w:t>
              <w:br/>
              <w:t>Feedback environments → aprendizaje adaptativo → evolución de rutinas → moderado por path dependence institucional</w:t>
            </w:r>
          </w:p>
        </w:tc>
      </w:tr>
    </w:tbl>
    <w:p/>
    <w:p>
      <w:pPr>
        <w:pStyle w:val="Heading2"/>
      </w:pPr>
      <w:r>
        <w:rPr>
          <w:color w:val="1B4332"/>
        </w:rPr>
        <w:t>VI | Condiciones estructurales (facilitadoras/inhibidoras)</w:t>
      </w:r>
    </w:p>
    <w:p>
      <w:r>
        <w:rPr>
          <w:sz w:val="20"/>
        </w:rPr>
        <w:t>FACILITADORES:</w:t>
        <w:br/>
        <w:t>- Variedad organizacional: permite experimentación y adaptación evolutiva de capacidades</w:t>
        <w:br/>
        <w:t>- Feedback environments: sistemas de retroalimentación que permiten aprendizaje y corrección de curso</w:t>
        <w:br/>
        <w:t>- Path dependence constructivo: historia institucional que permite acumulación de conocimiento</w:t>
        <w:br/>
        <w:br/>
        <w:t>INHIBIDORES:</w:t>
        <w:br/>
        <w:t>- Rigidez de rutinas: rutinas que se vuelven disfuncionales pero persisten por inercia institucional</w:t>
        <w:br/>
        <w:t>- Falta de mecanismos de selección: ausencia de presiones que fuercen evolución de capacidades</w:t>
        <w:br/>
        <w:t>- Incertidumbre extrema: niveles de incertidumbre que paralizan capacidad de búsqueda y selección</w:t>
      </w:r>
    </w:p>
    <w:p>
      <w:pPr>
        <w:pStyle w:val="Heading2"/>
      </w:pPr>
      <w:r>
        <w:rPr>
          <w:color w:val="1B4332"/>
        </w:rPr>
        <w:t>VII | Comparabilidad contextual con Rionegro</w:t>
      </w:r>
    </w:p>
    <w:p>
      <w:r>
        <w:rPr>
          <w:b/>
          <w:sz w:val="20"/>
        </w:rPr>
        <w:t xml:space="preserve">País: </w:t>
      </w:r>
      <w:r>
        <w:rPr>
          <w:sz w:val="20"/>
        </w:rPr>
        <w:t>Taiwán, Corea del Sur, Singapur</w:t>
      </w:r>
    </w:p>
    <w:p>
      <w:r>
        <w:rPr>
          <w:b/>
          <w:sz w:val="20"/>
        </w:rPr>
        <w:t xml:space="preserve">Nivel de gobierno: </w:t>
      </w:r>
      <w:r>
        <w:rPr>
          <w:sz w:val="20"/>
        </w:rPr>
        <w:t>Nacional</w:t>
      </w:r>
    </w:p>
    <w:p>
      <w:r>
        <w:rPr>
          <w:b/>
          <w:sz w:val="20"/>
        </w:rPr>
        <w:t xml:space="preserve">Tamaño del gobierno: </w:t>
      </w:r>
      <w:r>
        <w:rPr>
          <w:sz w:val="20"/>
        </w:rPr>
        <w:t>Grande (países enteros)</w:t>
      </w:r>
    </w:p>
    <w:p>
      <w:r>
        <w:rPr>
          <w:b/>
          <w:sz w:val="20"/>
        </w:rPr>
        <w:t xml:space="preserve">Ingreso/Categoría fiscal: </w:t>
      </w:r>
      <w:r>
        <w:rPr>
          <w:sz w:val="20"/>
        </w:rPr>
        <w:t>Alto (economías desarrolladas)</w:t>
      </w:r>
    </w:p>
    <w:p>
      <w:r>
        <w:rPr>
          <w:b/>
          <w:sz w:val="20"/>
        </w:rPr>
        <w:t xml:space="preserve">Tipo de régimen burocrático: </w:t>
      </w:r>
      <w:r>
        <w:rPr>
          <w:sz w:val="20"/>
        </w:rPr>
        <w:t>Híbrido (weberianos evolutivos)</w:t>
      </w:r>
    </w:p>
    <w:p>
      <w:r>
        <w:rPr>
          <w:b/>
          <w:sz w:val="20"/>
        </w:rPr>
        <w:t xml:space="preserve">Sector de política: </w:t>
      </w:r>
      <w:r>
        <w:rPr>
          <w:sz w:val="20"/>
        </w:rPr>
        <w:t>Ciencia, tecnología e innovación</w:t>
      </w:r>
    </w:p>
    <w:p>
      <w:r>
        <w:rPr>
          <w:b/>
          <w:sz w:val="20"/>
        </w:rPr>
        <w:t xml:space="preserve">Comparabilidad con Rionegro: </w:t>
      </w:r>
      <w:r>
        <w:rPr>
          <w:sz w:val="20"/>
        </w:rPr>
        <w:t>Baja</w:t>
      </w:r>
    </w:p>
    <w:p>
      <w:r>
        <w:rPr>
          <w:b/>
          <w:sz w:val="20"/>
        </w:rPr>
        <w:t xml:space="preserve">Justificación: </w:t>
      </w:r>
      <w:r>
        <w:rPr>
          <w:sz w:val="20"/>
        </w:rPr>
        <w:t>Diferencias significativas en escala, recursos, y tipo de políticas; sin embargo, marco teórico evolutivo es transferible</w:t>
      </w:r>
    </w:p>
    <w:p>
      <w:pPr>
        <w:pStyle w:val="Heading2"/>
      </w:pPr>
      <w:r>
        <w:rPr>
          <w:color w:val="1B4332"/>
        </w:rPr>
        <w:t>VIII | Conexión con las 4 preguntas empíricas</w:t>
      </w:r>
    </w:p>
    <w:p>
      <w:r>
        <w:rPr>
          <w:sz w:val="20"/>
        </w:rPr>
        <w:t>P1 — Anclaje duro → nivel organizacional: Rutinas organizacionales como anclaje duro muestran mayor efecto en nivel organizacional</w:t>
      </w:r>
      <w:r>
        <w:rPr>
          <w:b/>
          <w:color w:val="2E7D32"/>
          <w:sz w:val="20"/>
        </w:rPr>
        <w:t xml:space="preserve">  →  Soporta</w:t>
      </w:r>
    </w:p>
    <w:p>
      <w:r>
        <w:rPr>
          <w:sz w:val="20"/>
        </w:rPr>
        <w:t>P2 — Intervenciones blandas → individual/político: Aprendizaje tácito y sensemaking tienen tracción en nivel individual</w:t>
      </w:r>
      <w:r>
        <w:rPr>
          <w:b/>
          <w:color w:val="1565C0"/>
          <w:sz w:val="20"/>
        </w:rPr>
        <w:t xml:space="preserve">  →  Extiende</w:t>
      </w:r>
    </w:p>
    <w:p>
      <w:r>
        <w:rPr>
          <w:sz w:val="20"/>
        </w:rPr>
        <w:t>P3 — Inercia dimensional → restricciones estructurales: Path dependence puede crear inercia en ciertas dimensiones</w:t>
      </w:r>
      <w:r>
        <w:rPr>
          <w:b/>
          <w:color w:val="2E7D32"/>
          <w:sz w:val="20"/>
        </w:rPr>
        <w:t xml:space="preserve">  →  Soporta</w:t>
      </w:r>
    </w:p>
    <w:p>
      <w:r>
        <w:rPr>
          <w:sz w:val="20"/>
        </w:rPr>
        <w:t>P4 — Apropiación superficial vs. real: Distingue entre rutinas formales e informal embedded knowledge</w:t>
      </w:r>
      <w:r>
        <w:rPr>
          <w:b/>
          <w:color w:val="1565C0"/>
          <w:sz w:val="20"/>
        </w:rPr>
        <w:t xml:space="preserve">  →  Extiende</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""Policy capacity operationalized through concepts of routines, search and selection, punctuated selection and feedback environments" (p.1)"</w:t>
      </w:r>
    </w:p>
    <w:p>
      <w:pPr>
        <w:ind w:left="567" w:right="567"/>
      </w:pPr>
      <w:r>
        <w:rPr>
          <w:i/>
          <w:color w:val="444444"/>
          <w:sz w:val="19"/>
        </w:rPr>
        <w:t>""Core elements of policy capacity are organizational routines, search and selection, selection and feedback environments" (p.1)"</w:t>
      </w:r>
    </w:p>
    <w:p>
      <w:pPr>
        <w:ind w:left="567" w:right="567"/>
      </w:pPr>
      <w:r>
        <w:rPr>
          <w:i/>
          <w:color w:val="444444"/>
          <w:sz w:val="19"/>
        </w:rPr>
        <w:t>""Innovation as inherently evolutionary phenomenon characterized by uncertainties, dynamism, frequent failures and constant learning" (p.2)"</w:t>
      </w:r>
    </w:p>
    <w:p>
      <w:pPr>
        <w:pStyle w:val="Heading3"/>
      </w:pPr>
      <w:r>
        <w:rPr>
          <w:color w:val="0D47A1"/>
        </w:rPr>
        <w:t>Para Metodología</w:t>
      </w:r>
    </w:p>
    <w:p>
      <w:pPr>
        <w:ind w:left="567" w:right="567"/>
      </w:pPr>
      <w:r>
        <w:rPr>
          <w:i/>
          <w:color w:val="444444"/>
          <w:sz w:val="19"/>
        </w:rPr>
        <w:t>""Stylized discussion of evolution of science, technology and innovation policy capacities in three Asian Tigers" (p.1)"</w:t>
      </w:r>
    </w:p>
    <w:p>
      <w:pPr>
        <w:ind w:left="567" w:right="567"/>
      </w:pPr>
      <w:r>
        <w:rPr>
          <w:i/>
          <w:color w:val="444444"/>
          <w:sz w:val="19"/>
        </w:rPr>
        <w:t>""Evolutionary analytical approach focuses on both exogenous and endogenous factors influencing innovation processes" (p.4)"</w:t>
      </w:r>
    </w:p>
    <w:p>
      <w:pPr>
        <w:pStyle w:val="Heading3"/>
      </w:pPr>
      <w:r>
        <w:rPr>
          <w:color w:val="BF360C"/>
        </w:rPr>
        <w:t>Para Discusión</w:t>
      </w:r>
    </w:p>
    <w:p>
      <w:pPr>
        <w:ind w:left="567" w:right="567"/>
      </w:pPr>
      <w:r>
        <w:rPr>
          <w:i/>
          <w:color w:val="444444"/>
          <w:sz w:val="19"/>
        </w:rPr>
        <w:t>""Static nature of capacity renders concept implicitly teleological and normative" (p.3)"</w:t>
      </w:r>
    </w:p>
    <w:p>
      <w:pPr>
        <w:ind w:left="567" w:right="567"/>
      </w:pPr>
      <w:r>
        <w:rPr>
          <w:i/>
          <w:color w:val="444444"/>
          <w:sz w:val="19"/>
        </w:rPr>
        <w:t>""Uncertainties of innovation make role of public organizations highly uncertain and contextual" (p.4)"</w:t>
      </w:r>
    </w:p>
    <w:p>
      <w:pPr>
        <w:ind w:left="567" w:right="567"/>
      </w:pPr>
      <w:r>
        <w:rPr>
          <w:i/>
          <w:color w:val="444444"/>
          <w:sz w:val="19"/>
        </w:rPr>
        <w:t>""Self-transformation originates from capacity of system to produce novelty" (p.2)"</w:t>
      </w:r>
    </w:p>
    <w:p>
      <w:pPr>
        <w:pStyle w:val="Heading2"/>
      </w:pPr>
      <w:r>
        <w:rPr>
          <w:color w:val="1B4332"/>
        </w:rPr>
        <w:t>X | Vacíos estratégicos</w:t>
      </w:r>
    </w:p>
    <w:p>
      <w:r>
        <w:rPr>
          <w:sz w:val="20"/>
        </w:rPr>
        <w:t>1. No proporciona indicadores operacionalizables para medir rutinas organizacionales</w:t>
        <w:br/>
        <w:t>2. Marco teórico no se conecta explícitamente con matriz de Wu, Ramesh &amp; Howlett</w:t>
        <w:br/>
        <w:t>3. Ilustración empírica es estilizada, carece de medición sistemática de capacidades</w:t>
        <w:br/>
        <w:t>4. No aborda contextos de alta dependencia de contratistas</w:t>
        <w:br/>
        <w:t>5. Enfoque en políticas STI limita aplicabilidad a políticas sociales municipales</w:t>
      </w:r>
    </w:p>
    <w:p>
      <w:pPr>
        <w:pStyle w:val="Heading2"/>
      </w:pPr>
      <w:r>
        <w:rPr>
          <w:color w:val="1B4332"/>
        </w:rPr>
        <w:t>XI | Evaluación final estratégica</w:t>
      </w:r>
    </w:p>
    <w:p>
      <w:r>
        <w:rPr>
          <w:b/>
          <w:color w:val="E65100"/>
          <w:sz w:val="22"/>
        </w:rPr>
        <w:t>● CLASIFICACIÓN: IMPORTANTE</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realiza un aporte teórico significativo al reconceptualizar la capacidad de políticas públicas desde una perspectiva evolutiva, especialmente fuerte en las dimensiones analítica-organizacional (AO) y operativa-organizacional (OO) a través del concepto de rutinas organizacionales. Su principal contribución radica en superar la naturaleza estática de los marcos tradicionales de capacidad, proponiendo un enfoque dinámico que considera la autotransformación organizacional y el manejo de incertidumbre. Para el proyecto de Rionegro, aporta una base conceptual sólida para entender cómo las capacidades evolucionan en el tiempo, particularmente relevante dado el contexto de intervención longitudinal en múltiples políticas. Sin embargo, su utilidad práctica es limitada por la ausencia de indicadores operacionalizables y su enfoque en políticas de innovación a nivel nacional, requiriendo adaptación significativa para el contexto municipal colombiano. El marco evolutivo puede ser especialmente útil para entender cómo las intervenciones de capacity building interactúan con las rutinas organizacionales existentes en un contexto de alta dependencia de contratistas.</w:t>
            </w:r>
          </w:p>
        </w:tc>
      </w:tr>
    </w:tbl>
    <w:p/>
    <w:p>
      <w:pPr>
        <w:jc w:val="right"/>
      </w:pPr>
      <w:r>
        <w:rPr>
          <w:i/>
          <w:color w:val="999999"/>
          <w:sz w:val="16"/>
        </w:rPr>
        <w:t>Ficha generada automáticamente · 13/04/2026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