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Nemec, J., &amp; de Vries, M. S. (2015). Local government structure and capacities in Europe. Viešoji politika ir administravimas/Public Policy and Administration, 14(3), 249-267. http://dx.doi.org/10.5755/j01.ppaa.14.3.13434</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Nemec, J., &amp; de Vries, M. S. (2015). Local government structure and capacities in Europe. Viešoji politika ir administravimas/Public Policy and Administration, 14(3), 249-267. http://dx.doi.org/10.5755/j01.ppaa.14.3.13434</w:t>
      </w:r>
    </w:p>
    <w:p>
      <w:pPr>
        <w:pStyle w:val="Heading2"/>
      </w:pPr>
      <w:r>
        <w:rPr>
          <w:color w:val="1B4332"/>
        </w:rPr>
        <w:t>2 | Objetivo explícito del autor</w:t>
      </w:r>
    </w:p>
    <w:p>
      <w:r>
        <w:rPr>
          <w:sz w:val="20"/>
        </w:rPr>
        <w:t>Presentar y discutir el contexto, problemas y tendencias en la gobernanza local europea. El estudio examina las capacidades gubernamentales locales y el desempeño en Europa, identificando tanto fortalezas como desafíos estructurales y financieros.</w:t>
      </w:r>
    </w:p>
    <w:p>
      <w:pPr>
        <w:ind w:left="567" w:right="567"/>
      </w:pPr>
      <w:r>
        <w:rPr>
          <w:i/>
          <w:color w:val="444444"/>
          <w:sz w:val="19"/>
        </w:rPr>
        <w:t>""The goal of this article is to present and discuss the context and problems of, and trends in local governance in Europe" (p. 251)"</w:t>
      </w:r>
    </w:p>
    <w:p>
      <w:pPr>
        <w:pStyle w:val="Heading2"/>
      </w:pPr>
      <w:r>
        <w:rPr>
          <w:color w:val="1B4332"/>
        </w:rPr>
        <w:t>3 | Pregunta de investigación</w:t>
      </w:r>
    </w:p>
    <w:p>
      <w:pPr>
        <w:ind w:left="567" w:right="567"/>
      </w:pPr>
      <w:r>
        <w:rPr>
          <w:i/>
          <w:color w:val="444444"/>
          <w:sz w:val="19"/>
        </w:rPr>
        <w:t>"¿Cuáles son los factores contextuales que explican las variaciones en estructuras, capacidades y desempeño de los gobiernos locales europeos? [reconstruida del contenido]"</w:t>
      </w:r>
    </w:p>
    <w:p>
      <w:pPr>
        <w:pStyle w:val="Heading2"/>
      </w:pPr>
      <w:r>
        <w:rPr>
          <w:color w:val="1B4332"/>
        </w:rPr>
        <w:t>4 | Tesis central</w:t>
      </w:r>
    </w:p>
    <w:p>
      <w:r>
        <w:rPr>
          <w:sz w:val="20"/>
        </w:rPr>
        <w:t>Las capacidades y desempeño de los gobiernos locales europeos posicionan al continente como una de las áreas más desarrolladas en democracia local mundial. Esta situación se explica por factores multidimensionales incluyendo riqueza económica relativa, alto desarrollo humano, tradición histórica del principio de subsidiariedad y la función regulatoria del Consejo de Europa. Sin embargo, persisten desafíos estructurales significativos como la fragmentación territorial, la crisis financiera y tendencias de recentralización.</w:t>
      </w:r>
    </w:p>
    <w:p>
      <w:pPr>
        <w:ind w:left="567" w:right="567"/>
      </w:pPr>
      <w:r>
        <w:rPr>
          <w:i/>
          <w:color w:val="444444"/>
          <w:sz w:val="19"/>
        </w:rPr>
        <w:t>""local government capacities and local government performance in Europe clearly rank this continent to the most developed world areas" (p. 249)"</w:t>
      </w:r>
    </w:p>
    <w:p>
      <w:pPr>
        <w:pStyle w:val="Heading2"/>
      </w:pPr>
      <w:r>
        <w:rPr>
          <w:color w:val="1B4332"/>
        </w:rPr>
        <w:t>5 | Marco teórico utilizado</w:t>
      </w:r>
    </w:p>
    <w:p>
      <w:r>
        <w:rPr>
          <w:sz w:val="20"/>
        </w:rPr>
        <w:t>1. **Principio de subsidiariedad**: Decisiones tomadas lo más cerca posible de los ciudadanos, establecido en el Artículo 5 del Tratado de la Unión Europea</w:t>
        <w:br/>
        <w:t>2. **Carta Europea de Autonomía Local**: Marco normativo común que establece principios fundamentales de autogobierno local</w:t>
        <w:br/>
        <w:t>3. **Teoría de dependencia de trayectoria (path dependence)**: Explica persistencia de estructuras institucionales históricas</w:t>
        <w:br/>
        <w:t>4. **Teoría de fragmentación territorial**: Análisis de economías de escala y eficiencia en tamaño gubernamental</w:t>
        <w:br/>
        <w:t>5. **Índice de Desarrollo Humano**: Marco multidimensional para evaluar capacidades socioeconómicas</w:t>
        <w:br/>
        <w:t>*Nota: No utiliza el PCF de Wu et al. ni marcos específicos de capacidad estatal*</w:t>
      </w:r>
    </w:p>
    <w:p>
      <w:pPr>
        <w:pStyle w:val="Heading2"/>
      </w:pPr>
      <w:r>
        <w:rPr>
          <w:color w:val="1B4332"/>
        </w:rPr>
        <w:t>7 | Conceptos clave</w:t>
      </w:r>
    </w:p>
    <w:p>
      <w:r>
        <w:rPr>
          <w:sz w:val="20"/>
        </w:rPr>
        <w:t>1. **Capacidades de gobierno local**: Habilidades financieras, administrativas y políticas para gestionar asuntos públicos locales (p. 249)</w:t>
        <w:br/>
        <w:t>2. **Principio de subsidiariedad**: Decisiones tomadas por autoridades más cercanas al ciudadano (p. 251)</w:t>
        <w:br/>
        <w:t>3. **Fragmentación territorial**: Alto número de municipios pequeños con limitadas economías de escala (p. 255)</w:t>
        <w:br/>
        <w:t>4. **Autonomía financiera**: Capacidad de generar ingresos propios y disponer libremente de recursos (p. 253)</w:t>
        <w:br/>
        <w:t>5. **Principio ultra vires**: Restricción legal donde gobiernos locales solo pueden ejecutar funciones expresamente autorizadas (p. 254)</w:t>
        <w:br/>
        <w:t>6. **Descentralización fiscal**: Proporción de gastos del PIB manejados por gobiernos subnacionales (p. 253)</w:t>
      </w:r>
    </w:p>
    <w:p>
      <w:pPr>
        <w:pStyle w:val="Heading2"/>
      </w:pPr>
      <w:r>
        <w:rPr>
          <w:color w:val="1B4332"/>
        </w:rPr>
        <w:t>8 | Reconstrucción analítica del argumento</w:t>
      </w:r>
    </w:p>
    <w:p>
      <w:r>
        <w:rPr>
          <w:sz w:val="20"/>
        </w:rPr>
        <w:t>**Hipótesis**: Los gobiernos locales europeos poseen altas capacidades debido a factores estructurales favorables. **Resultados**: Confirmación parcial - Europa lidera en democracia local pero con variaciones significativas. **Mecanismo causal**: Riqueza económica + desarrollo humano + marcos normativos (Carta Europea) → altas capacidades locales. **Hallazgos inesperados**: Persistencia de fragmentación extrema y tendencias recentralizadoras incluso en democracias establecidas.</w:t>
      </w:r>
    </w:p>
    <w:p>
      <w:pPr>
        <w:pStyle w:val="Heading2"/>
      </w:pPr>
      <w:r>
        <w:rPr>
          <w:color w:val="1B4332"/>
        </w:rPr>
        <w:t>10 | Aportes principales</w:t>
      </w:r>
    </w:p>
    <w:p>
      <w:r>
        <w:rPr>
          <w:sz w:val="20"/>
        </w:rPr>
        <w:t>1. Mapeo comprensivo de variaciones estructurales en gobiernos locales europeos</w:t>
        <w:br/>
        <w:t>2. Identificación de factores explicativos multidimensionales de capacidades locales</w:t>
        <w:br/>
        <w:t>3. Análisis crítico de tensiones entre fragmentación y eficiencia administrativa</w:t>
        <w:br/>
        <w:t>4. Documentación de amenazas contemporáneas: crisis financiera y recentralización</w:t>
        <w:br/>
        <w:t>5. Marco analítico para entender diversidad institucional dentro de marcos normativos comunes</w:t>
      </w:r>
    </w:p>
    <w:p>
      <w:pPr>
        <w:pStyle w:val="Heading2"/>
      </w:pPr>
      <w:r>
        <w:rPr>
          <w:color w:val="1B4332"/>
        </w:rPr>
        <w:t>11 | Limitaciones</w:t>
      </w:r>
    </w:p>
    <w:p>
      <w:r>
        <w:rPr>
          <w:sz w:val="20"/>
        </w:rPr>
        <w:t>1. Análisis principalmente descriptivo sin modelamiento causal riguroso</w:t>
        <w:br/>
        <w:t>2. Ausencia de mediciones estandarizadas de capacidades gubernamentales</w:t>
        <w:br/>
        <w:t>3. Limitada profundidad en análisis de países no-UE</w:t>
        <w:br/>
        <w:t>4. Falta de datos longitudinales para análisis de tendencias</w:t>
      </w:r>
    </w:p>
    <w:p>
      <w:pPr>
        <w:pStyle w:val="Heading2"/>
      </w:pPr>
      <w:r>
        <w:rPr>
          <w:color w:val="1B4332"/>
        </w:rPr>
        <w:t>12 | Conexión con debates mayores</w:t>
      </w:r>
    </w:p>
    <w:p>
      <w:r>
        <w:rPr>
          <w:sz w:val="20"/>
        </w:rPr>
        <w:t>Conecta con debates sobre **descentralización fiscal** y eficiencia administrativa, **gobernanza multinivel** europea, tensiones entre **democratización local** y **capacity building**, efectos de **crisis económicas** en autonomía subnacional, y **reformas territoriales** (fusión vs. fragmentación municipal).</w:t>
      </w:r>
    </w:p>
    <w:p>
      <w:pPr>
        <w:pStyle w:val="Heading2"/>
      </w:pPr>
      <w:r>
        <w:rPr>
          <w:color w:val="1B4332"/>
        </w:rPr>
        <w:t>13 | Observaciones críticas propias</w:t>
      </w:r>
    </w:p>
    <w:p>
      <w:r>
        <w:rPr>
          <w:sz w:val="20"/>
        </w:rPr>
        <w:t>El estudio asume que mayor autonomía local es inherentemente positiva sin problematizar trade-offs con coordinación nacional. La tipología de capacidades permanece imprecisa y no operacionalizada. Subestima el papel de factores políticos partidarios en configurar estructuras locales. Requiere mayor integración teórica entre enfoques institucionales y de capacidad estatal.</w:t>
      </w:r>
    </w:p>
    <w:p>
      <w:pPr>
        <w:pStyle w:val="Heading2"/>
      </w:pPr>
      <w:r>
        <w:rPr>
          <w:color w:val="1B4332"/>
        </w:rPr>
        <w:t>6 | Tipo de investigación y metodología</w:t>
      </w:r>
    </w:p>
    <w:p>
      <w:r>
        <w:rPr>
          <w:b/>
          <w:sz w:val="20"/>
        </w:rPr>
        <w:t xml:space="preserve">Diseño: </w:t>
      </w:r>
      <w:r>
        <w:rPr>
          <w:sz w:val="20"/>
        </w:rPr>
        <w:t>Estudio comparativo descriptivo-analítico</w:t>
      </w:r>
    </w:p>
    <w:p>
      <w:r>
        <w:rPr>
          <w:b/>
          <w:sz w:val="20"/>
        </w:rPr>
        <w:t xml:space="preserve">Universo: </w:t>
      </w:r>
      <w:r>
        <w:rPr>
          <w:sz w:val="20"/>
        </w:rPr>
        <w:t>47 países miembros del Consejo de Europa</w:t>
      </w:r>
    </w:p>
    <w:p>
      <w:r>
        <w:rPr>
          <w:b/>
          <w:sz w:val="20"/>
        </w:rPr>
        <w:t xml:space="preserve">Muestra: </w:t>
      </w:r>
      <w:r>
        <w:rPr>
          <w:sz w:val="20"/>
        </w:rPr>
        <w:t>Totalidad del universo (47 países)</w:t>
      </w:r>
    </w:p>
    <w:p>
      <w:r>
        <w:rPr>
          <w:b/>
          <w:sz w:val="20"/>
        </w:rPr>
        <w:t xml:space="preserve">Instrumentos: </w:t>
      </w:r>
      <w:r>
        <w:rPr>
          <w:sz w:val="20"/>
        </w:rPr>
        <w:t>Revisión documental de reportes del Congreso de Autoridades Locales y Regionales, datos de Eurostat, estadísticas OCDE</w:t>
      </w:r>
    </w:p>
    <w:p>
      <w:r>
        <w:rPr>
          <w:b/>
          <w:sz w:val="20"/>
        </w:rPr>
        <w:t xml:space="preserve">Variable dependiente: </w:t>
      </w:r>
      <w:r>
        <w:rPr>
          <w:sz w:val="20"/>
        </w:rPr>
        <w:t>Capacidades y estructuras de gobierno local</w:t>
      </w:r>
    </w:p>
    <w:p>
      <w:r>
        <w:rPr>
          <w:b/>
          <w:sz w:val="20"/>
        </w:rPr>
        <w:t xml:space="preserve">Variables independientes: </w:t>
      </w:r>
      <w:r>
        <w:rPr>
          <w:sz w:val="20"/>
        </w:rPr>
        <w:t>Riqueza nacional, desarrollo humano, membresía UE, tradición histórica</w:t>
      </w:r>
    </w:p>
    <w:p>
      <w:r>
        <w:rPr>
          <w:b/>
          <w:sz w:val="20"/>
        </w:rPr>
        <w:t xml:space="preserve">Análisis: </w:t>
      </w:r>
      <w:r>
        <w:rPr>
          <w:sz w:val="20"/>
        </w:rPr>
        <w:t>Comparativo cualitativo con estadísticas descriptivas</w:t>
      </w:r>
    </w:p>
    <w:p>
      <w:r>
        <w:rPr>
          <w:b/>
          <w:sz w:val="20"/>
        </w:rPr>
        <w:t xml:space="preserve">País/Nivel de gobierno: </w:t>
      </w:r>
      <w:r>
        <w:rPr>
          <w:sz w:val="20"/>
        </w:rPr>
        <w:t>Europa/Gobierno local</w:t>
      </w:r>
    </w:p>
    <w:p>
      <w:pPr>
        <w:pStyle w:val="Heading2"/>
      </w:pPr>
      <w:r>
        <w:rPr>
          <w:color w:val="1B4332"/>
        </w:rPr>
        <w:t>9 | Evidencia empírica / estadística</w:t>
      </w:r>
    </w:p>
    <w:p>
      <w:r>
        <w:rPr>
          <w:sz w:val="20"/>
        </w:rPr>
        <w:t>- Gastos de gobierno local promedio UE: 12-13% del PIB (países nórdicos &gt;20%, otros &lt;10%)</w:t>
        <w:br/>
        <w:t>- Rango de ingresos per cápita: $100,000+ (Luxemburgo) a $1,500 (Moldova)</w:t>
        <w:br/>
        <w:t>- Fragmentación extrema: República Checa 6,000+ municipios/10M habitantes</w:t>
        <w:br/>
        <w:t>- 71 áreas metropolitanas con &gt;500,000 habitantes</w:t>
        <w:br/>
        <w:t>- Municipio más pequeño: 37 habitantes (Armenia)</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Nemec y de Vries demuestran que los gobiernos locales europeos exhiben capacidades relativamente altas debido a factores estructurales favorables, pero enfrentan desafíos significativos de fragmentación, financiamiento y recentralización. Su argumento central sostiene que marcos normativos comunes (Carta Europea) coexisten con diversidad institucional considerable, explicada por trayectorias históricas y contextos socioeconómicos nacionales. El estudio contribuye al entendimiento de variaciones subnacionales en capacidades gubernamentales, aunque requiere mayor rigor metodológico. Su relevancia radica en documentar tensiones contemporáneas entre democratización local y eficiencia administrativa en el contexto europeo, proporcionando base empírica para debates sobre reformas territoriales y descentralización fiscal.</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13/04/2026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