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4332"/>
          <w:sz w:val="28"/>
        </w:rPr>
        <w:t>FICHA DE LECTURA — CAPACIDADES DE POLÍTICA PÚBLICA</w:t>
      </w:r>
    </w:p>
    <w:p>
      <w:pPr>
        <w:jc w:val="center"/>
      </w:pPr>
      <w:r>
        <w:rPr>
          <w:i/>
          <w:color w:val="666666"/>
          <w:sz w:val="20"/>
        </w:rPr>
        <w:t>Proyecto: Medición de capacidades — Municipio de Rionegro, Antioquia</w:t>
      </w:r>
    </w:p>
    <w:p>
      <w:pPr>
        <w:jc w:val="center"/>
      </w:pPr>
      <w:r>
        <w:rPr>
          <w:i/>
          <w:sz w:val="22"/>
        </w:rPr>
        <w:t>Brenton, S., Baekkeskov, E., &amp; Hannah, A. (2023). Policy capacity: evolving theory and missing links. Policy Studies, 44(3), 297-315. https://doi.org/10.1080/01442872.2022.2043266</w:t>
      </w:r>
    </w:p>
    <w:p>
      <w:pPr>
        <w:jc w:val="center"/>
      </w:pPr>
      <w:r>
        <w:rPr>
          <w:b/>
          <w:color w:val="1B4332"/>
          <w:sz w:val="22"/>
        </w:rPr>
        <w:t>●  ● Puntaje matriz: 0/27</w:t>
      </w:r>
    </w:p>
    <w:p/>
    <w:p>
      <w:pPr>
        <w:pStyle w:val="Heading1"/>
      </w:pPr>
      <w:r>
        <w:rPr>
          <w:color w:val="1B4332"/>
        </w:rPr>
        <w:t>PARTE I — FICHA GENÉRICA DEL ARTÍCULO</w:t>
      </w:r>
    </w:p>
    <w:p>
      <w:pPr>
        <w:pStyle w:val="Heading2"/>
      </w:pPr>
      <w:r>
        <w:rPr>
          <w:color w:val="1B4332"/>
        </w:rPr>
        <w:t>1 | Referencia bibliográfica (APA 7)</w:t>
      </w:r>
    </w:p>
    <w:p>
      <w:r>
        <w:rPr>
          <w:sz w:val="20"/>
        </w:rPr>
        <w:t>Brenton, S., Baekkeskov, E., &amp; Hannah, A. (2023). Policy capacity: evolving theory and missing links. Policy Studies, 44(3), 297-315. https://doi.org/10.1080/01442872.2022.2043266</w:t>
      </w:r>
    </w:p>
    <w:p>
      <w:pPr>
        <w:pStyle w:val="Heading2"/>
      </w:pPr>
      <w:r>
        <w:rPr>
          <w:color w:val="1B4332"/>
        </w:rPr>
        <w:t>2 | Objetivo explícito del autor</w:t>
      </w:r>
    </w:p>
    <w:p>
      <w:r>
        <w:rPr>
          <w:sz w:val="20"/>
        </w:rPr>
        <w:t>El estudio busca rastrear la evolución de las conceptualizaciones de capacidad de política a través de un meta-análisis de la literatura en ciencias de políticas y administración. Los autores pretenden desarrollar un marco teórico más comprehensivo que incorpore tanto la oferta como la demanda en el análisis de capacidad de política.</w:t>
      </w:r>
    </w:p>
    <w:p>
      <w:pPr>
        <w:ind w:left="567" w:right="567"/>
      </w:pPr>
      <w:r>
        <w:rPr>
          <w:i/>
          <w:color w:val="444444"/>
          <w:sz w:val="19"/>
        </w:rPr>
        <w:t>""We trace the evolution of understandings and applications of policy capacity through a meta-analysis" (p. 297)"</w:t>
      </w:r>
    </w:p>
    <w:p>
      <w:pPr>
        <w:pStyle w:val="Heading2"/>
      </w:pPr>
      <w:r>
        <w:rPr>
          <w:color w:val="1B4332"/>
        </w:rPr>
        <w:t>3 | Pregunta de investigación</w:t>
      </w:r>
    </w:p>
    <w:p>
      <w:pPr>
        <w:ind w:left="567" w:right="567"/>
      </w:pPr>
      <w:r>
        <w:rPr>
          <w:i/>
          <w:color w:val="444444"/>
          <w:sz w:val="19"/>
        </w:rPr>
        <w:t>"¿Cómo puede conceptualizarse la capacidad de política de manera más comprehensiva, considerando tanto los aspectos de oferta como de demanda en los sistemas de gobernanza?"</w:t>
      </w:r>
    </w:p>
    <w:p>
      <w:pPr>
        <w:pStyle w:val="Heading2"/>
      </w:pPr>
      <w:r>
        <w:rPr>
          <w:color w:val="1B4332"/>
        </w:rPr>
        <w:t>4 | Tesis central</w:t>
      </w:r>
    </w:p>
    <w:p>
      <w:r>
        <w:rPr>
          <w:sz w:val="20"/>
        </w:rPr>
        <w:t>La investigación previa sobre capacidad de política se ha concentrado excesivamente en las propiedades de "oferta" de las respuestas políticas, particularmente suficiencia y cambios temporales. Los autores argumentan que se necesita mayor consideración de las demandas sociales sobre los gobiernos y el equilibrio/desequilibrio entre generación de demanda y oferta. Proponen tres dimensiones interconectadas: capital administrativo, gestión política contingente y satisfacción de expectativas.</w:t>
      </w:r>
    </w:p>
    <w:p>
      <w:pPr>
        <w:ind w:left="567" w:right="567"/>
      </w:pPr>
      <w:r>
        <w:rPr>
          <w:i/>
          <w:color w:val="444444"/>
          <w:sz w:val="19"/>
        </w:rPr>
        <w:t>""We argue that there needs to be more consideration of societal demands on governments" (p. 297)"</w:t>
      </w:r>
    </w:p>
    <w:p>
      <w:pPr>
        <w:pStyle w:val="Heading2"/>
      </w:pPr>
      <w:r>
        <w:rPr>
          <w:color w:val="1B4332"/>
        </w:rPr>
        <w:t>5 | Marco teórico utilizado</w:t>
      </w:r>
    </w:p>
    <w:p>
      <w:r>
        <w:rPr>
          <w:sz w:val="20"/>
        </w:rPr>
        <w:t>1. Teoría clásica de capacidad gubernamental (Graham 1960; Deutsch 1966): enfoque en estructuras racionales, autoridad y liderazgo</w:t>
        <w:br/>
        <w:t>2. Teoría de implementación y falla de políticas (Pressman &amp; Wildavsky 1973): correlación entre falta de capacidad y falla política</w:t>
        <w:br/>
        <w:t>3. Teoría del "vaciamiento del Estado" (Rhodes 1994): declive de la capacidad central y inclusión de actores no estatales</w:t>
        <w:br/>
        <w:t>4. Teoría de capacidad de gobernanza (Howlett &amp; Ramesh 2014): incorporación de redes de actores y mayor complejidad</w:t>
        <w:br/>
        <w:t>5. Marco analítico de batería: analogía para explicar la relación entre capacidad, oferta y demanda</w:t>
      </w:r>
    </w:p>
    <w:p>
      <w:pPr>
        <w:pStyle w:val="Heading2"/>
      </w:pPr>
      <w:r>
        <w:rPr>
          <w:color w:val="1B4332"/>
        </w:rPr>
        <w:t>7 | Conceptos clave</w:t>
      </w:r>
    </w:p>
    <w:p>
      <w:r>
        <w:rPr>
          <w:sz w:val="20"/>
        </w:rPr>
        <w:t>1. **Capacidad de política** (p. 297): "the ability to: anticipate and influence change; make informed, intelligent decisions about policy; develop programs to implement policy"</w:t>
        <w:br/>
        <w:t>2. **Capital administrativo** (p. 309): Recursos relativamente fungibles incluyendo recursos humanos, organizacionales, financieros y físicos</w:t>
        <w:br/>
        <w:t>3. **Gestión política contingente** (p. 310): Funciones y competencias que pertenecen exclusiva o mayormente al Estado para permitir throughput apropiado</w:t>
        <w:br/>
        <w:t>4. **Satisfacción de expectativas** (p. 311): Dimensión que considera las demandas sociales sobre los gobiernos y sistemas de gobernanza</w:t>
        <w:br/>
        <w:t>5. **Capacidad de gobernanza** (p. 298): Capacidad que incluye actores no estatales en respuesta al "vaciamiento del Estado"</w:t>
        <w:br/>
        <w:t>6. **Throughput** (p. 310): Proceso entre inputs (recursos) y outputs (entrega de políticas) en el sistema político</w:t>
      </w:r>
    </w:p>
    <w:p>
      <w:pPr>
        <w:pStyle w:val="Heading2"/>
      </w:pPr>
      <w:r>
        <w:rPr>
          <w:color w:val="1B4332"/>
        </w:rPr>
        <w:t>8 | Reconstrucción analítica del argumento</w:t>
      </w:r>
    </w:p>
    <w:p>
      <w:r>
        <w:rPr>
          <w:sz w:val="20"/>
        </w:rPr>
        <w:t>Los autores argumentan que las conceptualizaciones previas de capacidad de política sufren de una orientación excesiva hacia la oferta y una tautología problemática (política falla por pobre capacidad/capacidad es pobre porque política falla). Usando la analogía de una batería, demuestran que la capacidad debe medirse no solo por recursos disponibles sino por la relación entre oferta y demanda. Sus tres dimensiones propuestas operan dinámicamente: el capital administrativo provee los recursos base, la gestión política contingente determina cómo se usan estos recursos, y la satisfacción de expectativas considera si la capacidad meet las demandas sociales.</w:t>
      </w:r>
    </w:p>
    <w:p>
      <w:pPr>
        <w:pStyle w:val="Heading2"/>
      </w:pPr>
      <w:r>
        <w:rPr>
          <w:color w:val="1B4332"/>
        </w:rPr>
        <w:t>10 | Aportes principales</w:t>
      </w:r>
    </w:p>
    <w:p>
      <w:r>
        <w:rPr>
          <w:sz w:val="20"/>
        </w:rPr>
        <w:t>1. Desarrollo de marco tridimensional que supera la orientación excesiva hacia oferta en literatura previa</w:t>
        <w:br/>
        <w:t>2. Identificación y solución de tautología problemática en medición de capacidad de política</w:t>
        <w:br/>
        <w:t>3. Introducción de consideración sistemática de demanda social en análisis de capacidad</w:t>
        <w:br/>
        <w:t>4. Propuesta de analogía de batería como herramienta conceptual para entender relación oferta-demanda</w:t>
        <w:br/>
        <w:t>5. Meta-análisis comprehensivo de seis décadas de literatura sobre capacidad de política</w:t>
      </w:r>
    </w:p>
    <w:p>
      <w:pPr>
        <w:pStyle w:val="Heading2"/>
      </w:pPr>
      <w:r>
        <w:rPr>
          <w:color w:val="1B4332"/>
        </w:rPr>
        <w:t>11 | Limitaciones</w:t>
      </w:r>
    </w:p>
    <w:p>
      <w:r>
        <w:rPr>
          <w:sz w:val="20"/>
        </w:rPr>
        <w:t>1. Reconocen que su marco requiere mayor desarrollo empírico y operacionalización</w:t>
        <w:br/>
        <w:t>2. Admiten que el entendimiento de la "química" subyacente de capacidad política está lejos de ser comprehensivo</w:t>
        <w:br/>
        <w:t>3. Señalan que muchas medidas existentes capturan factores que contribuyen a capacidad en lugar de capacidad directamente</w:t>
        <w:br/>
        <w:t>4. Identifican que la búsqueda de literatura pudo haber omitido algunos textos relevantes de otras disciplinas</w:t>
      </w:r>
    </w:p>
    <w:p>
      <w:pPr>
        <w:pStyle w:val="Heading2"/>
      </w:pPr>
      <w:r>
        <w:rPr>
          <w:color w:val="1B4332"/>
        </w:rPr>
        <w:t>12 | Conexión con debates mayores</w:t>
      </w:r>
    </w:p>
    <w:p>
      <w:r>
        <w:rPr>
          <w:sz w:val="20"/>
        </w:rPr>
        <w:t>El artículo se conecta directamente con debates sobre state capacity y capacity building al proponer marco más sofisticado. Aborda críticamente el legado del New Public Management y el "vaciamiento del Estado" de Rhodes. Se relaciona con literatura de gobernanza multinivel al reconocer múltiples niveles de capacidad (programa, sector, cross-sectoral, sistema). Contribuye al debate sobre descentralización al considerar cómo demandas y expectativas varían across contextos y niveles gubernamentales.</w:t>
      </w:r>
    </w:p>
    <w:p>
      <w:pPr>
        <w:pStyle w:val="Heading2"/>
      </w:pPr>
      <w:r>
        <w:rPr>
          <w:color w:val="1B4332"/>
        </w:rPr>
        <w:t>13 | Observaciones críticas propias</w:t>
      </w:r>
    </w:p>
    <w:p>
      <w:r>
        <w:rPr>
          <w:sz w:val="20"/>
        </w:rPr>
        <w:t>El marco propuesto, aunque conceptualmente sólido, requiere mayor especificación operacional para aplicación empírica. Los autores no problematizan suficientemente cómo las tres dimensiones podrían entrar en conflicto o trade-offs entre ellas. La analogía de batería, mientras útil, puede oversimplificar la complejidad de sistemas políticos. Falta consideración de cómo poder, ideología y intereses configuran tanto oferta como demanda de capacidad. La dimensión de "satisfacción de expectativas" necesita mayor teorización sobre formación y cambio de expectativas sociales.</w:t>
      </w:r>
    </w:p>
    <w:p>
      <w:pPr>
        <w:pStyle w:val="Heading2"/>
      </w:pPr>
      <w:r>
        <w:rPr>
          <w:color w:val="1B4332"/>
        </w:rPr>
        <w:t>6 | Tipo de investigación y metodología</w:t>
      </w:r>
    </w:p>
    <w:p>
      <w:r>
        <w:rPr>
          <w:b/>
          <w:sz w:val="20"/>
        </w:rPr>
        <w:t xml:space="preserve">Diseño: </w:t>
      </w:r>
      <w:r>
        <w:rPr>
          <w:sz w:val="20"/>
        </w:rPr>
        <w:t>Meta-análisis cualitativo de literatura</w:t>
      </w:r>
    </w:p>
    <w:p>
      <w:r>
        <w:rPr>
          <w:b/>
          <w:sz w:val="20"/>
        </w:rPr>
        <w:t xml:space="preserve">Universo: </w:t>
      </w:r>
      <w:r>
        <w:rPr>
          <w:sz w:val="20"/>
        </w:rPr>
        <w:t>Estudios en ciencias de política y administración desde mediados del siglo XX</w:t>
      </w:r>
    </w:p>
    <w:p>
      <w:r>
        <w:rPr>
          <w:b/>
          <w:sz w:val="20"/>
        </w:rPr>
        <w:t xml:space="preserve">Muestra: </w:t>
      </w:r>
      <w:r>
        <w:rPr>
          <w:sz w:val="20"/>
        </w:rPr>
        <w:t>278 textos seleccionados de búsqueda inicial de casi 500 textos</w:t>
      </w:r>
    </w:p>
    <w:p>
      <w:r>
        <w:rPr>
          <w:b/>
          <w:sz w:val="20"/>
        </w:rPr>
        <w:t xml:space="preserve">Instrumentos: </w:t>
      </w:r>
      <w:r>
        <w:rPr>
          <w:sz w:val="20"/>
        </w:rPr>
        <w:t>Búsquedas en Google Scholar y bases de datos con palabras clave "capacity", "capability", "competency"</w:t>
      </w:r>
    </w:p>
    <w:p>
      <w:r>
        <w:rPr>
          <w:b/>
          <w:sz w:val="20"/>
        </w:rPr>
        <w:t xml:space="preserve">Variable dependiente: </w:t>
      </w:r>
      <w:r>
        <w:rPr>
          <w:sz w:val="20"/>
        </w:rPr>
        <w:t>Conceptualizaciones de capacidad de política</w:t>
      </w:r>
    </w:p>
    <w:p>
      <w:r>
        <w:rPr>
          <w:b/>
          <w:sz w:val="20"/>
        </w:rPr>
        <w:t xml:space="preserve">Variables independientes: </w:t>
      </w:r>
      <w:r>
        <w:rPr>
          <w:sz w:val="20"/>
        </w:rPr>
        <w:t>No aplica (estudio teórico)</w:t>
      </w:r>
    </w:p>
    <w:p>
      <w:r>
        <w:rPr>
          <w:b/>
          <w:sz w:val="20"/>
        </w:rPr>
        <w:t xml:space="preserve">Análisis: </w:t>
      </w:r>
      <w:r>
        <w:rPr>
          <w:sz w:val="20"/>
        </w:rPr>
        <w:t>Análisis de contenido enfocado en definiciones, recursos políticos y mecanismos causales</w:t>
      </w:r>
    </w:p>
    <w:p>
      <w:r>
        <w:rPr>
          <w:b/>
          <w:sz w:val="20"/>
        </w:rPr>
        <w:t xml:space="preserve">País/Nivel de gobierno: </w:t>
      </w:r>
      <w:r>
        <w:rPr>
          <w:sz w:val="20"/>
        </w:rPr>
        <w:t>Análisis comparativo internacional, múltiples niveles</w:t>
      </w:r>
    </w:p>
    <w:p>
      <w:pPr>
        <w:pStyle w:val="Heading2"/>
      </w:pPr>
      <w:r>
        <w:rPr>
          <w:color w:val="1B4332"/>
        </w:rPr>
        <w:t>9 | Evidencia empírica / estadística</w:t>
      </w:r>
    </w:p>
    <w:p>
      <w:r>
        <w:rPr>
          <w:sz w:val="20"/>
        </w:rPr>
        <w:t>El meta-análisis de 278 textos revela patrones consistentes en la literatura: capacidad frecuentemente deficiente, declives percibidos en ciertos períodos, y correlación problemática entre falla política y pobre capacidad. La analogía empírica de baterías de smartphones (4,000 mAh en 2021 vs 900 mAh en 2000s) ilustra cómo mayor capacidad no necesariamente significa mejor satisfacción de demandas incrementadas. Evidencia de estudios democráticos sugiere que ciudadanos en sistemas con historias institucionales más largas tienen expectativas gubernamentales más altas.</w:t>
      </w:r>
    </w:p>
    <w:p>
      <w:pPr>
        <w:pStyle w:val="Heading2"/>
      </w:pPr>
      <w:r>
        <w:rPr>
          <w:color w:val="1B4332"/>
        </w:rPr>
        <w:t>14 | Conclusión analítica sintética</w:t>
      </w:r>
    </w:p>
    <w:tbl>
      <w:tblPr>
        <w:tblStyle w:val="TableGrid"/>
        <w:tblW w:type="auto" w:w="0"/>
        <w:tblLook w:firstColumn="1" w:firstRow="1" w:lastColumn="0" w:lastRow="0" w:noHBand="0" w:noVBand="1" w:val="04A0"/>
      </w:tblPr>
      <w:tblGrid>
        <w:gridCol w:w="9406"/>
      </w:tblGrid>
      <w:tr>
        <w:tc>
          <w:tcPr>
            <w:tcW w:type="dxa" w:w="9406"/>
            <w:shd w:val="clear" w:color="auto" w:fill="E8F5E9"/>
          </w:tcPr>
          <w:p/>
          <w:p>
            <w:r>
              <w:rPr>
                <w:sz w:val="19"/>
              </w:rPr>
              <w:t>Brenton, Baekkeskov y Hannah ofrecen una reconceptualización significativa de capacidad de política que supera las limitaciones de enfoques previos centrados únicamente en oferta. Su marco tridimensional - capital administrativo, gestión política contingente y satisfacción de expectativas - proporciona una base más robusta para entender por qué algunos gobiernos parecen más capaces que otros. La incorporación sistemática de demanda social representa un avance teórico importante que puede informar tanto investigación futura como práctica de políticas públicas. Su trabajo establece fundaciones conceptuales necesarias para evaluaciones más precisas de si la capacidad estatal realmente ha disminuido en tiempos recientes, como frecuentemente se sugiere en el discurso político y académico.</w:t>
            </w:r>
          </w:p>
        </w:tc>
      </w:tr>
    </w:tbl>
    <w:p/>
    <w:p>
      <w:r>
        <w:br w:type="page"/>
      </w:r>
    </w:p>
    <w:p>
      <w:pPr>
        <w:pStyle w:val="Heading1"/>
      </w:pPr>
      <w:r>
        <w:rPr>
          <w:color w:val="1B4332"/>
        </w:rPr>
        <w:t>PARTE II — FICHA AJUSTADA AL PROYECTO DE CAPACIDADES</w:t>
      </w:r>
    </w:p>
    <w:p>
      <w:r>
        <w:rPr>
          <w:i/>
          <w:sz w:val="20"/>
        </w:rPr>
        <w:t>Matriz de Wu et al. (2015/2018) aplicada a Rionegro, Antioquia</w:t>
      </w:r>
    </w:p>
    <w:p>
      <w:pPr>
        <w:pStyle w:val="Heading2"/>
      </w:pPr>
      <w:r>
        <w:rPr>
          <w:color w:val="1B4332"/>
        </w:rPr>
        <w:t>I | Mapeo a la Matriz de Capacidades (9 celdas)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B4332"/>
          </w:tcPr>
          <w:p>
            <w:r>
              <w:rPr>
                <w:b/>
                <w:color w:val="FFFFFF"/>
                <w:sz w:val="16"/>
              </w:rPr>
              <w:t>Nivel \ Competencia</w:t>
            </w:r>
          </w:p>
        </w:tc>
        <w:tc>
          <w:tcPr>
            <w:tcW w:type="dxa" w:w="2351"/>
            <w:shd w:val="clear" w:color="auto" w:fill="1B4332"/>
          </w:tcPr>
          <w:p>
            <w:r>
              <w:rPr>
                <w:b/>
                <w:color w:val="FFFFFF"/>
                <w:sz w:val="16"/>
              </w:rPr>
              <w:t>ANALÍTICA</w:t>
            </w:r>
          </w:p>
        </w:tc>
        <w:tc>
          <w:tcPr>
            <w:tcW w:type="dxa" w:w="2351"/>
            <w:shd w:val="clear" w:color="auto" w:fill="1B4332"/>
          </w:tcPr>
          <w:p>
            <w:r>
              <w:rPr>
                <w:b/>
                <w:color w:val="FFFFFF"/>
                <w:sz w:val="16"/>
              </w:rPr>
              <w:t>OPERATIVA</w:t>
            </w:r>
          </w:p>
        </w:tc>
        <w:tc>
          <w:tcPr>
            <w:tcW w:type="dxa" w:w="2351"/>
            <w:shd w:val="clear" w:color="auto" w:fill="1B4332"/>
          </w:tcPr>
          <w:p>
            <w:r>
              <w:rPr>
                <w:b/>
                <w:color w:val="FFFFFF"/>
                <w:sz w:val="16"/>
              </w:rPr>
              <w:t>POLÍTICA</w:t>
            </w:r>
          </w:p>
        </w:tc>
      </w:tr>
      <w:tr>
        <w:tc>
          <w:tcPr>
            <w:tcW w:type="dxa" w:w="2351"/>
            <w:shd w:val="clear" w:color="auto" w:fill="D8F3DC"/>
          </w:tcPr>
          <w:p>
            <w:r>
              <w:rPr>
                <w:b/>
                <w:sz w:val="16"/>
              </w:rPr>
              <w:t>INDIVIDUAL</w:t>
            </w:r>
          </w:p>
        </w:tc>
        <w:tc>
          <w:tcPr>
            <w:tcW w:type="dxa" w:w="2351"/>
            <w:shd w:val="clear" w:color="auto" w:fill="F5F5F5"/>
          </w:tcPr>
          <w:p>
            <w:r>
              <w:rPr>
                <w:b/>
                <w:color w:val="999999"/>
                <w:sz w:val="16"/>
              </w:rPr>
              <w:t xml:space="preserve">[0] </w:t>
            </w:r>
            <w:r>
              <w:rPr>
                <w:sz w:val="14"/>
              </w:rPr>
              <w:t>No parseado</w:t>
            </w:r>
          </w:p>
        </w:tc>
        <w:tc>
          <w:tcPr>
            <w:tcW w:type="dxa" w:w="2351"/>
            <w:shd w:val="clear" w:color="auto" w:fill="F5F5F5"/>
          </w:tcPr>
          <w:p>
            <w:r>
              <w:rPr>
                <w:b/>
                <w:color w:val="999999"/>
                <w:sz w:val="16"/>
              </w:rPr>
              <w:t xml:space="preserve">[0] </w:t>
            </w:r>
            <w:r>
              <w:rPr>
                <w:sz w:val="14"/>
              </w:rPr>
              <w:t>No parseado</w:t>
            </w:r>
          </w:p>
        </w:tc>
        <w:tc>
          <w:tcPr>
            <w:tcW w:type="dxa" w:w="2351"/>
            <w:shd w:val="clear" w:color="auto" w:fill="F5F5F5"/>
          </w:tcPr>
          <w:p>
            <w:r>
              <w:rPr>
                <w:b/>
                <w:color w:val="999999"/>
                <w:sz w:val="16"/>
              </w:rPr>
              <w:t xml:space="preserve">[0] </w:t>
            </w:r>
            <w:r>
              <w:rPr>
                <w:sz w:val="14"/>
              </w:rPr>
              <w:t>No parseado</w:t>
            </w:r>
          </w:p>
        </w:tc>
      </w:tr>
      <w:tr>
        <w:tc>
          <w:tcPr>
            <w:tcW w:type="dxa" w:w="2351"/>
            <w:shd w:val="clear" w:color="auto" w:fill="D8F3DC"/>
          </w:tcPr>
          <w:p>
            <w:r>
              <w:rPr>
                <w:b/>
                <w:sz w:val="16"/>
              </w:rPr>
              <w:t>ORGANIZACIONAL</w:t>
            </w:r>
          </w:p>
        </w:tc>
        <w:tc>
          <w:tcPr>
            <w:tcW w:type="dxa" w:w="2351"/>
            <w:shd w:val="clear" w:color="auto" w:fill="F5F5F5"/>
          </w:tcPr>
          <w:p>
            <w:r>
              <w:rPr>
                <w:b/>
                <w:color w:val="999999"/>
                <w:sz w:val="16"/>
              </w:rPr>
              <w:t xml:space="preserve">[0] </w:t>
            </w:r>
            <w:r>
              <w:rPr>
                <w:sz w:val="14"/>
              </w:rPr>
              <w:t>No parseado</w:t>
            </w:r>
          </w:p>
        </w:tc>
        <w:tc>
          <w:tcPr>
            <w:tcW w:type="dxa" w:w="2351"/>
            <w:shd w:val="clear" w:color="auto" w:fill="F5F5F5"/>
          </w:tcPr>
          <w:p>
            <w:r>
              <w:rPr>
                <w:b/>
                <w:color w:val="999999"/>
                <w:sz w:val="16"/>
              </w:rPr>
              <w:t xml:space="preserve">[0] </w:t>
            </w:r>
            <w:r>
              <w:rPr>
                <w:sz w:val="14"/>
              </w:rPr>
              <w:t>No parseado</w:t>
            </w:r>
          </w:p>
        </w:tc>
        <w:tc>
          <w:tcPr>
            <w:tcW w:type="dxa" w:w="2351"/>
            <w:shd w:val="clear" w:color="auto" w:fill="F5F5F5"/>
          </w:tcPr>
          <w:p>
            <w:r>
              <w:rPr>
                <w:b/>
                <w:color w:val="999999"/>
                <w:sz w:val="16"/>
              </w:rPr>
              <w:t xml:space="preserve">[0] </w:t>
            </w:r>
            <w:r>
              <w:rPr>
                <w:sz w:val="14"/>
              </w:rPr>
              <w:t>No parseado</w:t>
            </w:r>
          </w:p>
        </w:tc>
      </w:tr>
      <w:tr>
        <w:tc>
          <w:tcPr>
            <w:tcW w:type="dxa" w:w="2351"/>
            <w:shd w:val="clear" w:color="auto" w:fill="D8F3DC"/>
          </w:tcPr>
          <w:p>
            <w:r>
              <w:rPr>
                <w:b/>
                <w:sz w:val="16"/>
              </w:rPr>
              <w:t>SISTÉMICO</w:t>
            </w:r>
          </w:p>
        </w:tc>
        <w:tc>
          <w:tcPr>
            <w:tcW w:type="dxa" w:w="2351"/>
            <w:shd w:val="clear" w:color="auto" w:fill="F5F5F5"/>
          </w:tcPr>
          <w:p>
            <w:r>
              <w:rPr>
                <w:b/>
                <w:color w:val="999999"/>
                <w:sz w:val="16"/>
              </w:rPr>
              <w:t xml:space="preserve">[0] </w:t>
            </w:r>
            <w:r>
              <w:rPr>
                <w:sz w:val="14"/>
              </w:rPr>
              <w:t>No parseado</w:t>
            </w:r>
          </w:p>
        </w:tc>
        <w:tc>
          <w:tcPr>
            <w:tcW w:type="dxa" w:w="2351"/>
            <w:shd w:val="clear" w:color="auto" w:fill="F5F5F5"/>
          </w:tcPr>
          <w:p>
            <w:r>
              <w:rPr>
                <w:b/>
                <w:color w:val="999999"/>
                <w:sz w:val="16"/>
              </w:rPr>
              <w:t xml:space="preserve">[0] </w:t>
            </w:r>
            <w:r>
              <w:rPr>
                <w:sz w:val="14"/>
              </w:rPr>
              <w:t>No parseado</w:t>
            </w:r>
          </w:p>
        </w:tc>
        <w:tc>
          <w:tcPr>
            <w:tcW w:type="dxa" w:w="2351"/>
            <w:shd w:val="clear" w:color="auto" w:fill="F5F5F5"/>
          </w:tcPr>
          <w:p>
            <w:r>
              <w:rPr>
                <w:b/>
                <w:color w:val="999999"/>
                <w:sz w:val="16"/>
              </w:rPr>
              <w:t xml:space="preserve">[0] </w:t>
            </w:r>
            <w:r>
              <w:rPr>
                <w:sz w:val="14"/>
              </w:rPr>
              <w:t>No parseado</w:t>
            </w:r>
          </w:p>
        </w:tc>
      </w:tr>
    </w:tbl>
    <w:p/>
    <w:p/>
    <w:p>
      <w:pPr>
        <w:pStyle w:val="Heading2"/>
      </w:pPr>
      <w:r>
        <w:rPr>
          <w:color w:val="1B4332"/>
        </w:rPr>
        <w:t>II | Indicadores operacionalizables extraídos</w:t>
      </w:r>
    </w:p>
    <w:tbl>
      <w:tblPr>
        <w:tblStyle w:val="TableGrid"/>
        <w:tblW w:type="auto" w:w="0"/>
        <w:tblLook w:firstColumn="1" w:firstRow="1" w:lastColumn="0" w:lastRow="0" w:noHBand="0" w:noVBand="1" w:val="04A0"/>
      </w:tblPr>
      <w:tblGrid>
        <w:gridCol w:w="9406"/>
      </w:tblGrid>
      <w:tr>
        <w:tc>
          <w:tcPr>
            <w:tcW w:type="dxa" w:w="9406"/>
            <w:shd w:val="clear" w:color="auto" w:fill="E3F2FD"/>
          </w:tcPr>
          <w:p/>
          <w:p>
            <w:r>
              <w:rPr>
                <w:b/>
                <w:color w:val="1B4332"/>
                <w:sz w:val="20"/>
              </w:rPr>
              <w:t>Indicadores para instrumento de medición</w:t>
            </w:r>
          </w:p>
          <w:p/>
        </w:tc>
      </w:tr>
    </w:tbl>
    <w:p/>
    <w:p>
      <w:pPr>
        <w:pStyle w:val="Heading2"/>
      </w:pPr>
      <w:r>
        <w:rPr>
          <w:color w:val="1B4332"/>
        </w:rPr>
        <w:t>III | Variables, escalas e ítems de encuesta</w:t>
      </w:r>
    </w:p>
    <w:tbl>
      <w:tblPr>
        <w:tblStyle w:val="TableGrid"/>
        <w:tblW w:type="auto" w:w="0"/>
        <w:tblLook w:firstColumn="1" w:firstRow="1" w:lastColumn="0" w:lastRow="0" w:noHBand="0" w:noVBand="1" w:val="04A0"/>
      </w:tblPr>
      <w:tblGrid>
        <w:gridCol w:w="9406"/>
      </w:tblGrid>
      <w:tr>
        <w:tc>
          <w:tcPr>
            <w:tcW w:type="dxa" w:w="9406"/>
            <w:shd w:val="clear" w:color="auto" w:fill="F3E5F5"/>
          </w:tcPr>
          <w:p/>
          <w:p>
            <w:r>
              <w:rPr>
                <w:b/>
                <w:color w:val="1B4332"/>
                <w:sz w:val="20"/>
              </w:rPr>
              <w:t>Ítems extraíbles para instrumento Rionegro</w:t>
            </w:r>
          </w:p>
          <w:p/>
        </w:tc>
      </w:tr>
    </w:tbl>
    <w:p/>
    <w:p>
      <w:pPr>
        <w:pStyle w:val="Heading2"/>
      </w:pPr>
      <w:r>
        <w:rPr>
          <w:color w:val="1B4332"/>
        </w:rPr>
        <w:t>IV | Intervenciones de Capacity Building</w:t>
      </w:r>
    </w:p>
    <w:tbl>
      <w:tblPr>
        <w:tblStyle w:val="TableGrid"/>
        <w:tblW w:type="auto" w:w="0"/>
        <w:tblLook w:firstColumn="1" w:firstRow="1" w:lastColumn="0" w:lastRow="0" w:noHBand="0" w:noVBand="1" w:val="04A0"/>
      </w:tblPr>
      <w:tblGrid>
        <w:gridCol w:w="9406"/>
      </w:tblGrid>
      <w:tr>
        <w:tc>
          <w:tcPr>
            <w:tcW w:type="dxa" w:w="9406"/>
            <w:shd w:val="clear" w:color="auto" w:fill="FFF3E0"/>
          </w:tcPr>
          <w:p/>
          <w:p/>
        </w:tc>
      </w:tr>
    </w:tbl>
    <w:p/>
    <w:p>
      <w:pPr>
        <w:pStyle w:val="Heading2"/>
      </w:pPr>
      <w:r>
        <w:rPr>
          <w:color w:val="1B4332"/>
        </w:rPr>
        <w:t>V | Cadena causal: Intervención → Capacidad</w:t>
      </w:r>
    </w:p>
    <w:tbl>
      <w:tblPr>
        <w:tblStyle w:val="TableGrid"/>
        <w:tblW w:type="auto" w:w="0"/>
        <w:tblLook w:firstColumn="1" w:firstRow="1" w:lastColumn="0" w:lastRow="0" w:noHBand="0" w:noVBand="1" w:val="04A0"/>
      </w:tblPr>
      <w:tblGrid>
        <w:gridCol w:w="9406"/>
      </w:tblGrid>
      <w:tr>
        <w:tc>
          <w:tcPr>
            <w:tcW w:type="dxa" w:w="9406"/>
            <w:shd w:val="clear" w:color="auto" w:fill="FCE4EC"/>
          </w:tcPr>
          <w:p/>
          <w:p>
            <w:r>
              <w:rPr>
                <w:b/>
                <w:color w:val="1B4332"/>
                <w:sz w:val="20"/>
              </w:rPr>
              <w:t>Intervención → Mecanismo → Celda → Moderador</w:t>
            </w:r>
          </w:p>
          <w:p/>
        </w:tc>
      </w:tr>
    </w:tbl>
    <w:p/>
    <w:p>
      <w:pPr>
        <w:pStyle w:val="Heading2"/>
      </w:pPr>
      <w:r>
        <w:rPr>
          <w:color w:val="1B4332"/>
        </w:rPr>
        <w:t>VI | Condiciones estructurales (facilitadoras/inhibidoras)</w:t>
      </w:r>
    </w:p>
    <w:p/>
    <w:p>
      <w:pPr>
        <w:pStyle w:val="Heading2"/>
      </w:pPr>
      <w:r>
        <w:rPr>
          <w:color w:val="1B4332"/>
        </w:rPr>
        <w:t>VII | Comparabilidad contextual con Rionegro</w:t>
      </w:r>
    </w:p>
    <w:p>
      <w:pPr>
        <w:pStyle w:val="Heading2"/>
      </w:pPr>
      <w:r>
        <w:rPr>
          <w:color w:val="1B4332"/>
        </w:rPr>
        <w:t>VIII | Conexión con las 4 preguntas empíricas</w:t>
      </w:r>
    </w:p>
    <w:p>
      <w:pPr>
        <w:pStyle w:val="Heading2"/>
      </w:pPr>
      <w:r>
        <w:rPr>
          <w:color w:val="1B4332"/>
        </w:rPr>
        <w:t>IX | Citas estratégicas categorizadas</w:t>
      </w:r>
    </w:p>
    <w:p>
      <w:pPr>
        <w:pStyle w:val="Heading3"/>
      </w:pPr>
      <w:r>
        <w:rPr>
          <w:color w:val="4A148C"/>
        </w:rPr>
        <w:t>Para Marco Teórico</w:t>
      </w:r>
    </w:p>
    <w:p>
      <w:pPr>
        <w:pStyle w:val="Heading3"/>
      </w:pPr>
      <w:r>
        <w:rPr>
          <w:color w:val="0D47A1"/>
        </w:rPr>
        <w:t>Para Metodología</w:t>
      </w:r>
    </w:p>
    <w:p>
      <w:pPr>
        <w:pStyle w:val="Heading3"/>
      </w:pPr>
      <w:r>
        <w:rPr>
          <w:color w:val="BF360C"/>
        </w:rPr>
        <w:t>Para Discusión</w:t>
      </w:r>
    </w:p>
    <w:p>
      <w:pPr>
        <w:pStyle w:val="Heading2"/>
      </w:pPr>
      <w:r>
        <w:rPr>
          <w:color w:val="1B4332"/>
        </w:rPr>
        <w:t>X | Vacíos estratégicos</w:t>
      </w:r>
    </w:p>
    <w:p/>
    <w:p>
      <w:pPr>
        <w:pStyle w:val="Heading2"/>
      </w:pPr>
      <w:r>
        <w:rPr>
          <w:color w:val="1B4332"/>
        </w:rPr>
        <w:t>XI | Evaluación final estratégica</w:t>
      </w:r>
    </w:p>
    <w:p>
      <w:r>
        <w:rPr>
          <w:b/>
          <w:color w:val="1B4332"/>
          <w:sz w:val="22"/>
        </w:rPr>
        <w:t xml:space="preserve">● CLASIFICACIÓN: </w:t>
      </w:r>
    </w:p>
    <w:tbl>
      <w:tblPr>
        <w:tblStyle w:val="TableGrid"/>
        <w:tblW w:type="auto" w:w="0"/>
        <w:tblLook w:firstColumn="1" w:firstRow="1" w:lastColumn="0" w:lastRow="0" w:noHBand="0" w:noVBand="1" w:val="04A0"/>
      </w:tblPr>
      <w:tblGrid>
        <w:gridCol w:w="9406"/>
      </w:tblGrid>
      <w:tr>
        <w:tc>
          <w:tcPr>
            <w:tcW w:type="dxa" w:w="9406"/>
            <w:shd w:val="clear" w:color="auto" w:fill="FFF8E1"/>
          </w:tcPr>
          <w:p/>
          <w:p/>
        </w:tc>
      </w:tr>
    </w:tbl>
    <w:p/>
    <w:p>
      <w:pPr>
        <w:jc w:val="right"/>
      </w:pPr>
      <w:r>
        <w:rPr>
          <w:i/>
          <w:color w:val="999999"/>
          <w:sz w:val="16"/>
        </w:rPr>
        <w:t>Ficha generada automáticamente · 13/04/2026 · Proyecto Capacidades Rionegro · PCF Wu et al. · v2</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