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Wu, X., Ramesh, M., &amp; Howlett, M. (2015). Policy capacity: A conceptual framework for understanding policy competences and capabilities. Policy and Society, xxx(xxx), xxx-xxx. https://doi.org/10.1016/j.polsoc.2015.09.001</w:t>
      </w:r>
    </w:p>
    <w:p>
      <w:pPr>
        <w:jc w:val="center"/>
      </w:pPr>
      <w:r>
        <w:rPr>
          <w:b/>
          <w:color w:val="1B5E20"/>
          <w:sz w:val="22"/>
        </w:rPr>
        <w:t>● FUNDAMENTAL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Wu, X., Ramesh, M., &amp; Howlett, M. (2015). Policy capacity: A conceptual framework for understanding policy competences and capabilities. Policy and Society, xxx(xxx), xxx-xxx. https://doi.org/10.1016/j.polsoc.2015.09.001</w:t>
      </w:r>
    </w:p>
    <w:p>
      <w:pPr>
        <w:pStyle w:val="Heading2"/>
      </w:pPr>
      <w:r>
        <w:rPr>
          <w:color w:val="1B4332"/>
        </w:rPr>
        <w:t>2 | Objetivo explícito del autor</w:t>
      </w:r>
    </w:p>
    <w:p>
      <w:r>
        <w:rPr>
          <w:sz w:val="20"/>
        </w:rPr>
        <w:t>El estudio busca desarrollar un marco conceptual sistemático para analizar y medir la capacidad de política pública. Pretende llenar el vacío teórico existente en la definición operacional del concepto y proporcionar una herramienta diagnóstica práctica para identificar brechas de capacidad.</w:t>
      </w:r>
    </w:p>
    <w:p>
      <w:pPr>
        <w:ind w:left="567" w:right="567"/>
      </w:pPr>
      <w:r>
        <w:rPr>
          <w:i/>
          <w:color w:val="444444"/>
          <w:sz w:val="19"/>
        </w:rPr>
        <w:t>""This article serves to fill this gap and introduces a framework for analysing policy capacity" (p. 2)"</w:t>
      </w:r>
    </w:p>
    <w:p>
      <w:pPr>
        <w:pStyle w:val="Heading2"/>
      </w:pPr>
      <w:r>
        <w:rPr>
          <w:color w:val="1B4332"/>
        </w:rPr>
        <w:t>3 | Pregunta de investigación</w:t>
      </w:r>
    </w:p>
    <w:p>
      <w:pPr>
        <w:ind w:left="567" w:right="567"/>
      </w:pPr>
      <w:r>
        <w:rPr>
          <w:i/>
          <w:color w:val="444444"/>
          <w:sz w:val="19"/>
        </w:rPr>
        <w:t>"¿Cómo se puede desarrollar una definición operacional comprehensiva de capacidad de política que abarque todas las dimensiones identificadas en la literatura y permita su aplicación práctica? (reconstruida del texto)"</w:t>
      </w:r>
    </w:p>
    <w:p>
      <w:pPr>
        <w:pStyle w:val="Heading2"/>
      </w:pPr>
      <w:r>
        <w:rPr>
          <w:color w:val="1B4332"/>
        </w:rPr>
        <w:t>4 | Tesis central</w:t>
      </w:r>
    </w:p>
    <w:p>
      <w:r>
        <w:rPr>
          <w:sz w:val="20"/>
        </w:rPr>
        <w:t>La capacidad de política debe conceptualizarse como el conjunto de habilidades y recursos necesarios para desempeñar funciones de política pública, organizados en tres tipos de competencias (analíticas, operacionales y políticas) y tres niveles de capacidades (individual, organizacional y sistémico). Esta matriz de nueve componentes permite diagnosticar brechas de capacidad y explicar por qué los fracasos de política son generalizados y persistentes. El marco reconoce que el éxito de políticas demanda altos niveles de capacidades en múltiples dimensiones, aunque no necesariamente en igual medida o simultáneamente.</w:t>
      </w:r>
    </w:p>
    <w:p>
      <w:pPr>
        <w:ind w:left="567" w:right="567"/>
      </w:pPr>
      <w:r>
        <w:rPr>
          <w:i/>
          <w:color w:val="444444"/>
          <w:sz w:val="19"/>
        </w:rPr>
        <w:t>""Policy capacity is defined here as the set of skills and resources—or competences and capabilities—necessary to perform policy functions" (p. 2)"</w:t>
      </w:r>
    </w:p>
    <w:p>
      <w:pPr>
        <w:pStyle w:val="Heading2"/>
      </w:pPr>
      <w:r>
        <w:rPr>
          <w:color w:val="1B4332"/>
        </w:rPr>
        <w:t>5 | Marco teórico utilizado</w:t>
      </w:r>
    </w:p>
    <w:p>
      <w:r>
        <w:rPr>
          <w:sz w:val="20"/>
        </w:rPr>
        <w:t>1. **Teorías de capacidad estatal restringida** - Definiciones limitadas centradas en habilidades específicas como asesoría de política (Painter &amp; Pierre, 2005)</w:t>
        <w:br/>
        <w:t>2. **Teorías expansivas de capacidad gubernamental** - Incluyen implementación eficiente y meta-nivel de gobernanza (Davis, 2000; Parsons, 2004)</w:t>
        <w:br/>
        <w:t>3. **Triángulo estratégico de gestión pública** - Valor público, legitimidad y capacidad organizacional (Moore, 1995)</w:t>
        <w:br/>
        <w:t>4. **Marco de capacidad de evaluación** - Antecedente directo del modelo propuesto (Gleeson et al., 2009, 2011)</w:t>
        <w:br/>
        <w:t>5. **Teoría de capacidad de gobernanza** - Distinción entre capacidad de política y capacidad de gobernanza (Howlett &amp; Ramesh, 2015)</w:t>
      </w:r>
    </w:p>
    <w:p>
      <w:pPr>
        <w:pStyle w:val="Heading2"/>
      </w:pPr>
      <w:r>
        <w:rPr>
          <w:color w:val="1B4332"/>
        </w:rPr>
        <w:t>7 | Conceptos clave</w:t>
      </w:r>
    </w:p>
    <w:p>
      <w:r>
        <w:rPr>
          <w:sz w:val="20"/>
        </w:rPr>
        <w:t>1. **Capacidad de política** - "El conjunto de habilidades y recursos necesarios para desempeñar funciones de política" (p. 2)</w:t>
        <w:br/>
        <w:t>2. **Competencias analíticas** - "Habilidades para acceder y aplicar conocimiento técnico-científico y técnicas analíticas" (p. 4)</w:t>
        <w:br/>
        <w:t>3. **Competencias operacionales** - "Permite la alineación de recursos con acciones de política para su implementación práctica" (p. 4)</w:t>
        <w:br/>
        <w:t>4. **Competencias políticas** - "Ayuda a obtener y sostener apoyo político para las acciones de política" (p. 4)</w:t>
        <w:br/>
        <w:t>5. **Capacidades individuales** - "Conocimiento sobre procesos de política, habilidades analíticas, experiencia gerencial y juicio político" (p. 3)</w:t>
        <w:br/>
        <w:t>6. **Capacidades organizacionales** - "Infraestructura de información, sistemas de gestión de recursos y apoyo político a nivel organizacional" (p. 3)</w:t>
        <w:br/>
        <w:t>7. **Capacidades sistémicas** - "Nivel de apoyo y confianza, recursos disponibles y condiciones estructurales del sistema" (p. 3)</w:t>
      </w:r>
    </w:p>
    <w:p>
      <w:pPr>
        <w:pStyle w:val="Heading2"/>
      </w:pPr>
      <w:r>
        <w:rPr>
          <w:color w:val="1B4332"/>
        </w:rPr>
        <w:t>8 | Reconstrucción analítica del argumento</w:t>
      </w:r>
    </w:p>
    <w:p>
      <w:r>
        <w:rPr>
          <w:sz w:val="20"/>
        </w:rPr>
        <w:t>Los autores argumentan que la ausencia de una definición operacional ha limitado el uso práctico del concepto de capacidad de política. Su marco de 3x3 permite identificar que los fracasos de política resultan de atención desbalanceada a los nueve componentes de capacidad. El modelo anidado muestra cómo las capacidades sistémicas afectan las organizacionales y viceversa. Los tres tipos de competencias son interconectados pero separables, permitiendo identificar capacidades críticas específicas. El marco es suficientemente amplio para abarcar definiciones previas pero lo suficientemente específico para aplicación práctica.</w:t>
      </w:r>
    </w:p>
    <w:p>
      <w:pPr>
        <w:pStyle w:val="Heading2"/>
      </w:pPr>
      <w:r>
        <w:rPr>
          <w:color w:val="1B4332"/>
        </w:rPr>
        <w:t>10 | Aportes principales</w:t>
      </w:r>
    </w:p>
    <w:p>
      <w:r>
        <w:rPr>
          <w:sz w:val="20"/>
        </w:rPr>
        <w:t>1. Primer marco conceptual sistemático que integra todas las dimensiones de capacidad de política identificadas en la literatura</w:t>
        <w:br/>
        <w:t>2. Herramienta diagnóstica práctica para identificar brechas específicas de capacidad</w:t>
        <w:br/>
        <w:t>3. Modelo anidado que explica interacciones entre niveles de capacidad</w:t>
        <w:br/>
        <w:t>4. Explicación teórica de por qué los fracasos de política son persistentes y generalizados</w:t>
        <w:br/>
        <w:t>5. Base conceptual para operacionalización y medición empírica del constructo</w:t>
      </w:r>
    </w:p>
    <w:p>
      <w:pPr>
        <w:pStyle w:val="Heading2"/>
      </w:pPr>
      <w:r>
        <w:rPr>
          <w:color w:val="1B4332"/>
        </w:rPr>
        <w:t>11 | Limitaciones</w:t>
      </w:r>
    </w:p>
    <w:p>
      <w:r>
        <w:rPr>
          <w:sz w:val="20"/>
        </w:rPr>
        <w:t>1. Reconocen que el marco requiere desarrollo empírico adicional para validación</w:t>
        <w:br/>
        <w:t>2. La aplicabilidad práctica depende de artículos subsecuentes que desarrollen cada componente</w:t>
        <w:br/>
        <w:t>3. No especifican completamente cómo medir cada tipo de capacidad</w:t>
        <w:br/>
        <w:t>4. La distinción entre capacidad de política y capacidad de gobernanza requiere mayor elaboración</w:t>
      </w:r>
    </w:p>
    <w:p>
      <w:pPr>
        <w:pStyle w:val="Heading2"/>
      </w:pPr>
      <w:r>
        <w:rPr>
          <w:color w:val="1B4332"/>
        </w:rPr>
        <w:t>12 | Conexión con debates mayores</w:t>
      </w:r>
    </w:p>
    <w:p>
      <w:r>
        <w:rPr>
          <w:sz w:val="20"/>
        </w:rPr>
        <w:t>Se conecta centralmente con debates sobre **state capacity** al proporcionar marco analítico más específico. Contribuye al debate **capacity building** ofreciendo diagnóstico sistemático de brechas. Se relaciona con **gobernanza multinivel** al reconocer múltiples actores y niveles. Dialoga con **Nueva Gestión Pública** al incluir dimensiones gerenciales. Aborda debates sobre **evidencia en políticas** mediante componentes analíticos. Se vincula con **descentralización** al ser aplicable a diferentes niveles gubernamentales.</w:t>
      </w:r>
    </w:p>
    <w:p>
      <w:pPr>
        <w:pStyle w:val="Heading2"/>
      </w:pPr>
      <w:r>
        <w:rPr>
          <w:color w:val="1B4332"/>
        </w:rPr>
        <w:t>13 | Observaciones críticas propias</w:t>
      </w:r>
    </w:p>
    <w:p>
      <w:r>
        <w:rPr>
          <w:sz w:val="20"/>
        </w:rPr>
        <w:t>El marco asume equivalencia entre los tres tipos de competencias sin problematizar posibles tensiones entre lógica técnica, gerencial y política. La extensión del concepto más allá del gobierno hacia actores no gubernamentales genera ambigüedad sobre límites analíticos. No aborda suficientemente cómo las capacidades pueden ser contraproducentes o generar efectos no deseados. La aplicabilidad transcultural del marco requiere mayor consideración de contextos institucionales específicos.</w:t>
      </w:r>
    </w:p>
    <w:p>
      <w:pPr>
        <w:pStyle w:val="Heading2"/>
      </w:pPr>
      <w:r>
        <w:rPr>
          <w:color w:val="1B4332"/>
        </w:rPr>
        <w:t>6 | Tipo de investigación y metodología</w:t>
      </w:r>
    </w:p>
    <w:p>
      <w:r>
        <w:rPr>
          <w:b/>
          <w:sz w:val="20"/>
        </w:rPr>
        <w:t xml:space="preserve">Diseño: </w:t>
      </w:r>
      <w:r>
        <w:rPr>
          <w:sz w:val="20"/>
        </w:rPr>
        <w:t>Artículo teórico-conceptual</w:t>
      </w:r>
    </w:p>
    <w:p>
      <w:r>
        <w:rPr>
          <w:b/>
          <w:sz w:val="20"/>
        </w:rPr>
        <w:t xml:space="preserve">Universo: </w:t>
      </w:r>
      <w:r>
        <w:rPr>
          <w:sz w:val="20"/>
        </w:rPr>
        <w:t>Literatura académica sobre capacidad de política pública</w:t>
      </w:r>
    </w:p>
    <w:p>
      <w:r>
        <w:rPr>
          <w:b/>
          <w:sz w:val="20"/>
        </w:rPr>
        <w:t xml:space="preserve">Muestra: </w:t>
      </w:r>
      <w:r>
        <w:rPr>
          <w:sz w:val="20"/>
        </w:rPr>
        <w:t>Revisión selectiva de definiciones y enfoques principales</w:t>
      </w:r>
    </w:p>
    <w:p>
      <w:r>
        <w:rPr>
          <w:b/>
          <w:sz w:val="20"/>
        </w:rPr>
        <w:t xml:space="preserve">Instrumentos: </w:t>
      </w:r>
      <w:r>
        <w:rPr>
          <w:sz w:val="20"/>
        </w:rPr>
        <w:t>Análisis documental y síntesis conceptual</w:t>
      </w:r>
    </w:p>
    <w:p>
      <w:r>
        <w:rPr>
          <w:b/>
          <w:sz w:val="20"/>
        </w:rPr>
        <w:t xml:space="preserve">Variable dependiente: </w:t>
      </w:r>
      <w:r>
        <w:rPr>
          <w:sz w:val="20"/>
        </w:rPr>
        <w:t>Capacidad de política (constructo multidimensional)</w:t>
      </w:r>
    </w:p>
    <w:p>
      <w:r>
        <w:rPr>
          <w:b/>
          <w:sz w:val="20"/>
        </w:rPr>
        <w:t xml:space="preserve">Variables independientes: </w:t>
      </w:r>
      <w:r>
        <w:rPr>
          <w:sz w:val="20"/>
        </w:rPr>
        <w:t>No aplica (estudio teórico)</w:t>
      </w:r>
    </w:p>
    <w:p>
      <w:r>
        <w:rPr>
          <w:b/>
          <w:sz w:val="20"/>
        </w:rPr>
        <w:t xml:space="preserve">Análisis: </w:t>
      </w:r>
      <w:r>
        <w:rPr>
          <w:sz w:val="20"/>
        </w:rPr>
        <w:t>Síntesis conceptual y desarrollo de marco teórico</w:t>
      </w:r>
    </w:p>
    <w:p>
      <w:r>
        <w:rPr>
          <w:b/>
          <w:sz w:val="20"/>
        </w:rPr>
        <w:t xml:space="preserve">País/Nivel de gobierno: </w:t>
      </w:r>
      <w:r>
        <w:rPr>
          <w:sz w:val="20"/>
        </w:rPr>
        <w:t>Marco general aplicable a múltiples contextos</w:t>
      </w:r>
    </w:p>
    <w:p>
      <w:pPr>
        <w:pStyle w:val="Heading2"/>
      </w:pPr>
      <w:r>
        <w:rPr>
          <w:color w:val="1B4332"/>
        </w:rPr>
        <w:t>9 | Evidencia empírica / estadística</w:t>
      </w:r>
    </w:p>
    <w:p>
      <w:r>
        <w:rPr>
          <w:sz w:val="20"/>
        </w:rPr>
        <w:t>El artículo es principalmente teórico, pero presenta evidencia conceptual a través de: síntesis de múltiples definiciones existentes en la literatura; demostración de cómo el marco abarca enfoques previos; identificación de casos donde la falta de capacidad genera fracasos (crisis financiera 2008); estructura lógica del modelo anidado; aplicabilidad del marco demostrada en artículos subsecuentes del número especial.</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Este artículo establece un marco conceptual fundamental para el estudio sistemático de la capacidad de política pública, organizando el concepto en una matriz de competencias y capacidades que permite diagnóstico preciso de fortalezas y debilidades gubernamentales. El modelo explica convincentemente por qué los fracasos de política son persistentes: requieren capacidades altas en múltiples dimensiones que raramente se desarrollan de manera equilibrada. Su principal fortaleza radica en proporcionar una herramienta analítica comprehensiva pero específica, superando la fragmentación conceptual previa. El marco tiene potencial significativo para mejorar tanto la investigación académica como la práctica de política pública, aunque requiere validación empírica adicional. Su relevancia es particularmente alta en contextos de creciente complejidad de problemas públicos y expectativas ciudadanas elevadas. La propuesta representa un avance conceptual importante para la disciplina de políticas públicas.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Define capacidad analítica individual como conocimiento técnico, habilidades de análisis d</w:t>
            </w:r>
          </w:p>
        </w:tc>
        <w:tc>
          <w:tcPr>
            <w:tcW w:type="dxa" w:w="2351"/>
            <w:shd w:val="clear" w:color="auto" w:fill="C8E6C9"/>
          </w:tcPr>
          <w:p>
            <w:r>
              <w:rPr>
                <w:b/>
                <w:color w:val="2E7D32"/>
                <w:sz w:val="16"/>
              </w:rPr>
              <w:t xml:space="preserve">[2] </w:t>
            </w:r>
            <w:r>
              <w:rPr>
                <w:sz w:val="14"/>
              </w:rPr>
              <w:t xml:space="preserve">Define capacidad operativa individual como liderazgo, gestión financiera y habilidades de </w:t>
            </w:r>
          </w:p>
        </w:tc>
        <w:tc>
          <w:tcPr>
            <w:tcW w:type="dxa" w:w="2351"/>
            <w:shd w:val="clear" w:color="auto" w:fill="C8E6C9"/>
          </w:tcPr>
          <w:p>
            <w:r>
              <w:rPr>
                <w:b/>
                <w:color w:val="2E7D32"/>
                <w:sz w:val="16"/>
              </w:rPr>
              <w:t xml:space="preserve">[2] </w:t>
            </w:r>
            <w:r>
              <w:rPr>
                <w:sz w:val="14"/>
              </w:rPr>
              <w:t>Define capacidad política individual como juicio político, negociación y construcción de c</w:t>
            </w:r>
          </w:p>
        </w:tc>
      </w:tr>
      <w:tr>
        <w:tc>
          <w:tcPr>
            <w:tcW w:type="dxa" w:w="2351"/>
            <w:shd w:val="clear" w:color="auto" w:fill="D8F3DC"/>
          </w:tcPr>
          <w:p>
            <w:r>
              <w:rPr>
                <w:b/>
                <w:sz w:val="16"/>
              </w:rPr>
              <w:t>ORGANIZACIONAL</w:t>
            </w:r>
          </w:p>
        </w:tc>
        <w:tc>
          <w:tcPr>
            <w:tcW w:type="dxa" w:w="2351"/>
            <w:shd w:val="clear" w:color="auto" w:fill="C8E6C9"/>
          </w:tcPr>
          <w:p>
            <w:r>
              <w:rPr>
                <w:b/>
                <w:color w:val="2E7D32"/>
                <w:sz w:val="16"/>
              </w:rPr>
              <w:t xml:space="preserve">[2] </w:t>
            </w:r>
            <w:r>
              <w:rPr>
                <w:sz w:val="14"/>
              </w:rPr>
              <w:t>Conceptualiza capacidad analítica organizacional como infraestructura de investigación, cu</w:t>
            </w:r>
          </w:p>
        </w:tc>
        <w:tc>
          <w:tcPr>
            <w:tcW w:type="dxa" w:w="2351"/>
            <w:shd w:val="clear" w:color="auto" w:fill="C8E6C9"/>
          </w:tcPr>
          <w:p>
            <w:r>
              <w:rPr>
                <w:b/>
                <w:color w:val="2E7D32"/>
                <w:sz w:val="16"/>
              </w:rPr>
              <w:t xml:space="preserve">[2] </w:t>
            </w:r>
            <w:r>
              <w:rPr>
                <w:sz w:val="14"/>
              </w:rPr>
              <w:t>Conceptualiza capacidad operativa organizacional como coordinación interna/externa, gestió</w:t>
            </w:r>
          </w:p>
        </w:tc>
        <w:tc>
          <w:tcPr>
            <w:tcW w:type="dxa" w:w="2351"/>
            <w:shd w:val="clear" w:color="auto" w:fill="C8E6C9"/>
          </w:tcPr>
          <w:p>
            <w:r>
              <w:rPr>
                <w:b/>
                <w:color w:val="2E7D32"/>
                <w:sz w:val="16"/>
              </w:rPr>
              <w:t xml:space="preserve">[2] </w:t>
            </w:r>
            <w:r>
              <w:rPr>
                <w:sz w:val="14"/>
              </w:rPr>
              <w:t>Conceptualiza capacidad política organizacional como reputación, acceso a decisores y part</w:t>
            </w:r>
          </w:p>
        </w:tc>
      </w:tr>
      <w:tr>
        <w:tc>
          <w:tcPr>
            <w:tcW w:type="dxa" w:w="2351"/>
            <w:shd w:val="clear" w:color="auto" w:fill="D8F3DC"/>
          </w:tcPr>
          <w:p>
            <w:r>
              <w:rPr>
                <w:b/>
                <w:sz w:val="16"/>
              </w:rPr>
              <w:t>SISTÉMICO</w:t>
            </w:r>
          </w:p>
        </w:tc>
        <w:tc>
          <w:tcPr>
            <w:tcW w:type="dxa" w:w="2351"/>
            <w:shd w:val="clear" w:color="auto" w:fill="C8E6C9"/>
          </w:tcPr>
          <w:p>
            <w:r>
              <w:rPr>
                <w:b/>
                <w:color w:val="2E7D32"/>
                <w:sz w:val="16"/>
              </w:rPr>
              <w:t xml:space="preserve">[2] </w:t>
            </w:r>
            <w:r>
              <w:rPr>
                <w:sz w:val="14"/>
              </w:rPr>
              <w:t>Desarrolla capacidad analítica sistémica incluyendo estadísticas nacionales, think tanks y</w:t>
            </w:r>
          </w:p>
        </w:tc>
        <w:tc>
          <w:tcPr>
            <w:tcW w:type="dxa" w:w="2351"/>
            <w:shd w:val="clear" w:color="auto" w:fill="C8E6C9"/>
          </w:tcPr>
          <w:p>
            <w:r>
              <w:rPr>
                <w:b/>
                <w:color w:val="2E7D32"/>
                <w:sz w:val="16"/>
              </w:rPr>
              <w:t xml:space="preserve">[2] </w:t>
            </w:r>
            <w:r>
              <w:rPr>
                <w:sz w:val="14"/>
              </w:rPr>
              <w:t>Desarrolla capacidad operativa sistémica incluyendo relaciones intergubernamentales y marc</w:t>
            </w:r>
          </w:p>
        </w:tc>
        <w:tc>
          <w:tcPr>
            <w:tcW w:type="dxa" w:w="2351"/>
            <w:shd w:val="clear" w:color="auto" w:fill="C8E6C9"/>
          </w:tcPr>
          <w:p>
            <w:r>
              <w:rPr>
                <w:b/>
                <w:color w:val="2E7D32"/>
                <w:sz w:val="16"/>
              </w:rPr>
              <w:t xml:space="preserve">[2] </w:t>
            </w:r>
            <w:r>
              <w:rPr>
                <w:sz w:val="14"/>
              </w:rPr>
              <w:t>Desarrolla capacidad política sistémica incluyendo confianza pública, legitimidad y rendic</w:t>
            </w:r>
          </w:p>
        </w:tc>
      </w:tr>
    </w:tbl>
    <w:p/>
    <w:p>
      <w:r>
        <w:rPr>
          <w:sz w:val="18"/>
        </w:rPr>
        <w:t>AI: 2 | Define capacidad analítica individual como conocimiento técnico, habilidades de análisis de datos y evaluación de políticas</w:t>
        <w:br/>
        <w:t>AO: 2 | Conceptualiza capacidad analítica organizacional como infraestructura de investigación, cultura de evidencia y memoria institucional</w:t>
        <w:br/>
        <w:t>AS: 2 | Desarrolla capacidad analítica sistémica incluyendo estadísticas nacionales, think tanks y recursos de conocimiento externo</w:t>
        <w:br/>
        <w:t>OI: 2 | Define capacidad operativa individual como liderazgo, gestión financiera y habilidades de coordinación</w:t>
        <w:br/>
        <w:t>OO: 2 | Conceptualiza capacidad operativa organizacional como coordinación interna/externa, gestión de RRHH y control burocrático</w:t>
        <w:br/>
        <w:t>OS: 2 | Desarrolla capacidad operativa sistémica incluyendo relaciones intergubernamentales y marco legal de implementación</w:t>
        <w:br/>
        <w:t>PI: 2 | Define capacidad política individual como juicio político, negociación y construcción de consensos</w:t>
        <w:br/>
        <w:t>PO: 2 | Conceptualiza capacidad política organizacional como reputación, acceso a decisores y participación ciudadana</w:t>
        <w:br/>
        <w:t>PS: 2 | Desarrolla capacidad política sistémica incluyendo confianza pública, legitimidad y rendición de cuentas</w:t>
        <w:br/>
        <w:br/>
        <w:t>CELDAS_PRINCIPALES: Todas las 9 celdas (puntuación uniforme por ser artículo fundacional del marco)</w:t>
        <w:br/>
        <w:br/>
        <w:t>##</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br/>
              <w:br/>
              <w:t>##</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br/>
              <w:br/>
              <w:t>##</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No aplica — artículo conceptual/diagnóstico</w:t>
              <w:br/>
              <w:br/>
              <w:t>##</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Recursos sistémicos → capacidades organizacionales → desempeño individual → efectividad de política → moderado por contexto institucional</w:t>
              <w:br/>
              <w:br/>
              <w:t>Déficits de capacidad → fallas de política → necesidad de diagnóstico → intervenciones dirigidas → mejora de capacidad</w:t>
              <w:br/>
              <w:br/>
              <w:t>Interacciones anidadas: capacidades sistémicas facilitan organizacionales, organizacionales facilitan individuales</w:t>
              <w:br/>
              <w:br/>
              <w:t>##</w:t>
            </w:r>
          </w:p>
        </w:tc>
      </w:tr>
    </w:tbl>
    <w:p/>
    <w:p>
      <w:pPr>
        <w:pStyle w:val="Heading2"/>
      </w:pPr>
      <w:r>
        <w:rPr>
          <w:color w:val="1B4332"/>
        </w:rPr>
        <w:t>VI | Condiciones estructurales (facilitadoras/inhibidoras)</w:t>
      </w:r>
    </w:p>
    <w:p>
      <w:r>
        <w:rPr>
          <w:sz w:val="20"/>
        </w:rPr>
        <w:t>FACILITADORES:</w:t>
        <w:br/>
        <w:t>- Confianza y apoyo público: Legitimidad social como base para acceso a recursos y autoridad</w:t>
        <w:br/>
        <w:t>- Recursos disponibles: Personal y financiamiento como precondición organizacional básica</w:t>
        <w:br/>
        <w:t>- Apoyo político: Respaldo de autoridades como condición necesaria para funcionamiento efectivo</w:t>
        <w:br/>
        <w:br/>
        <w:t>INHIBIDORES:</w:t>
        <w:br/>
        <w:t>- Desbalances en matriz: Atención desproporcionada a algunas dimensiones genera fallas sistémicas</w:t>
        <w:br/>
        <w:t>- Fragmentación multinivel: Desconexión entre niveles individual, organizacional y sistémico</w:t>
        <w:br/>
        <w:t>- Limitaciones contextuales: Restricciones económicas y políticas que limitan desarrollo de capacidades</w:t>
        <w:br/>
        <w:br/>
        <w:t>##</w:t>
      </w:r>
    </w:p>
    <w:p>
      <w:pPr>
        <w:pStyle w:val="Heading2"/>
      </w:pPr>
      <w:r>
        <w:rPr>
          <w:color w:val="1B4332"/>
        </w:rPr>
        <w:t>VII | Comparabilidad contextual con Rionegro</w:t>
      </w:r>
    </w:p>
    <w:p>
      <w:r>
        <w:rPr>
          <w:b/>
          <w:sz w:val="20"/>
        </w:rPr>
        <w:t xml:space="preserve">País: </w:t>
      </w:r>
      <w:r>
        <w:rPr>
          <w:sz w:val="20"/>
        </w:rPr>
        <w:t>No específico (marco conceptual general)</w:t>
      </w:r>
    </w:p>
    <w:p>
      <w:r>
        <w:rPr>
          <w:b/>
          <w:sz w:val="20"/>
        </w:rPr>
        <w:t xml:space="preserve">Nivel de gobierno: </w:t>
      </w:r>
      <w:r>
        <w:rPr>
          <w:sz w:val="20"/>
        </w:rPr>
        <w:t>Transversal (aplicable a todos los niveles)</w:t>
      </w:r>
    </w:p>
    <w:p>
      <w:r>
        <w:rPr>
          <w:b/>
          <w:sz w:val="20"/>
        </w:rPr>
        <w:t xml:space="preserve">Tamaño del gobierno: </w:t>
      </w:r>
      <w:r>
        <w:rPr>
          <w:sz w:val="20"/>
        </w:rPr>
        <w:t>No específico</w:t>
      </w:r>
    </w:p>
    <w:p>
      <w:r>
        <w:rPr>
          <w:b/>
          <w:sz w:val="20"/>
        </w:rPr>
        <w:t xml:space="preserve">Ingreso/Categoría fiscal: </w:t>
      </w:r>
      <w:r>
        <w:rPr>
          <w:sz w:val="20"/>
        </w:rPr>
        <w:t>No específico</w:t>
      </w:r>
    </w:p>
    <w:p>
      <w:r>
        <w:rPr>
          <w:b/>
          <w:sz w:val="20"/>
        </w:rPr>
        <w:t xml:space="preserve">Tipo de régimen burocrático: </w:t>
      </w:r>
      <w:r>
        <w:rPr>
          <w:sz w:val="20"/>
        </w:rPr>
        <w:t>Genérico (aplicable a diversos tipos)</w:t>
      </w:r>
    </w:p>
    <w:p>
      <w:r>
        <w:rPr>
          <w:b/>
          <w:sz w:val="20"/>
        </w:rPr>
        <w:t xml:space="preserve">Sector de política: </w:t>
      </w:r>
      <w:r>
        <w:rPr>
          <w:sz w:val="20"/>
        </w:rPr>
        <w:t>Transversal</w:t>
      </w:r>
    </w:p>
    <w:p>
      <w:r>
        <w:rPr>
          <w:b/>
          <w:sz w:val="20"/>
        </w:rPr>
        <w:t xml:space="preserve">Comparabilidad con Rionegro: </w:t>
      </w:r>
      <w:r>
        <w:rPr>
          <w:sz w:val="20"/>
        </w:rPr>
        <w:t>Alta</w:t>
      </w:r>
    </w:p>
    <w:p>
      <w:r>
        <w:rPr>
          <w:b/>
          <w:sz w:val="20"/>
        </w:rPr>
        <w:t xml:space="preserve">Justificación: </w:t>
      </w:r>
      <w:r>
        <w:rPr>
          <w:sz w:val="20"/>
        </w:rPr>
        <w:t>Marco teórico base aplicable universalmente; permite diagnóstico en contextos de contractor-dominance</w:t>
      </w:r>
    </w:p>
    <w:p>
      <w:r>
        <w:rPr>
          <w:sz w:val="20"/>
        </w:rPr>
        <w:t>##</w:t>
      </w:r>
    </w:p>
    <w:p>
      <w:pPr>
        <w:pStyle w:val="Heading2"/>
      </w:pPr>
      <w:r>
        <w:rPr>
          <w:color w:val="1B4332"/>
        </w:rPr>
        <w:t>VIII | Conexión con las 4 preguntas empíricas</w:t>
      </w:r>
    </w:p>
    <w:p>
      <w:r>
        <w:rPr>
          <w:sz w:val="20"/>
        </w:rPr>
        <w:t>P1 — Anclaje duro → nivel organizacional: Reconoce que recursos organizacionales son críticos para efectividad</w:t>
      </w:r>
      <w:r>
        <w:rPr>
          <w:b/>
          <w:color w:val="2E7D32"/>
          <w:sz w:val="20"/>
        </w:rPr>
        <w:t xml:space="preserve">  →  Soporta</w:t>
      </w:r>
    </w:p>
    <w:p>
      <w:r>
        <w:rPr>
          <w:sz w:val="20"/>
        </w:rPr>
        <w:t>P2 — Intervenciones blandas → individual/político: Enfatiza importancia de habilidades individuales y legitimidad política</w:t>
      </w:r>
      <w:r>
        <w:rPr>
          <w:b/>
          <w:color w:val="2E7D32"/>
          <w:sz w:val="20"/>
        </w:rPr>
        <w:t xml:space="preserve">  →  Soporta</w:t>
      </w:r>
    </w:p>
    <w:p>
      <w:r>
        <w:rPr>
          <w:sz w:val="20"/>
        </w:rPr>
        <w:t>P3 — Inercia dimensional → restricciones estructurales: Advierte que déficits sistémicos limitan desarrollo organizacional e individual</w:t>
      </w:r>
      <w:r>
        <w:rPr>
          <w:b/>
          <w:color w:val="2E7D32"/>
          <w:sz w:val="20"/>
        </w:rPr>
        <w:t xml:space="preserve">  →  Soporta</w:t>
      </w:r>
    </w:p>
    <w:p>
      <w:r>
        <w:rPr>
          <w:sz w:val="20"/>
        </w:rPr>
        <w:t>P4 — Apropiación superficial vs. real: Destaca necesidad de capacidades reales vs. aparentes para efectividad</w:t>
      </w:r>
      <w:r>
        <w:rPr>
          <w:b/>
          <w:color w:val="1565C0"/>
          <w:sz w:val="20"/>
        </w:rPr>
        <w:t xml:space="preserve">  →  Extiende</w:t>
      </w:r>
    </w:p>
    <w:p>
      <w:r>
        <w:rPr>
          <w:sz w:val="20"/>
        </w:rPr>
        <w:t>##</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refers to the competencies and capabilities important to policy-making""</w:t>
      </w:r>
    </w:p>
    <w:p>
      <w:pPr>
        <w:ind w:left="567" w:right="567"/>
      </w:pPr>
      <w:r>
        <w:rPr>
          <w:i/>
          <w:color w:val="444444"/>
          <w:sz w:val="19"/>
        </w:rPr>
        <w:t>""Three types of skills essential for policy success—analytical, operational and political""</w:t>
      </w:r>
    </w:p>
    <w:p>
      <w:pPr>
        <w:ind w:left="567" w:right="567"/>
      </w:pPr>
      <w:r>
        <w:rPr>
          <w:i/>
          <w:color w:val="444444"/>
          <w:sz w:val="19"/>
        </w:rPr>
        <w:t>""Policy failures often result from imbalanced attention to these nine different components""</w:t>
      </w:r>
    </w:p>
    <w:p>
      <w:pPr>
        <w:ind w:left="567" w:right="567"/>
      </w:pPr>
      <w:r>
        <w:rPr>
          <w:i/>
          <w:color w:val="444444"/>
          <w:sz w:val="19"/>
        </w:rPr>
        <w:t>""System level resources affect organizational ones and vice versa""</w:t>
      </w:r>
    </w:p>
    <w:p>
      <w:pPr>
        <w:ind w:left="567" w:right="567"/>
      </w:pPr>
      <w:r>
        <w:rPr>
          <w:i/>
          <w:color w:val="444444"/>
          <w:sz w:val="19"/>
        </w:rPr>
        <w:t>"##"</w:t>
      </w:r>
    </w:p>
    <w:p>
      <w:pPr>
        <w:pStyle w:val="Heading3"/>
      </w:pPr>
      <w:r>
        <w:rPr>
          <w:color w:val="0D47A1"/>
        </w:rPr>
        <w:t>Para Metodología</w:t>
      </w:r>
    </w:p>
    <w:p>
      <w:pPr>
        <w:ind w:left="567" w:right="567"/>
      </w:pPr>
      <w:r>
        <w:rPr>
          <w:i/>
          <w:color w:val="444444"/>
          <w:sz w:val="19"/>
        </w:rPr>
        <w:t>""Framework provides a diagnostic tool to identify capacity gaps""</w:t>
      </w:r>
    </w:p>
    <w:p>
      <w:pPr>
        <w:ind w:left="567" w:right="567"/>
      </w:pPr>
      <w:r>
        <w:rPr>
          <w:i/>
          <w:color w:val="444444"/>
          <w:sz w:val="19"/>
        </w:rPr>
        <w:t>""Allows for superior operationalization of the concept and translation into practice""</w:t>
      </w:r>
    </w:p>
    <w:p>
      <w:pPr>
        <w:ind w:left="567" w:right="567"/>
      </w:pPr>
      <w:r>
        <w:rPr>
          <w:i/>
          <w:color w:val="444444"/>
          <w:sz w:val="19"/>
        </w:rPr>
        <w:t>""Nested model of capacities in which system level resources affect organizational ones""</w:t>
      </w:r>
    </w:p>
    <w:p>
      <w:pPr>
        <w:ind w:left="567" w:right="567"/>
      </w:pPr>
      <w:r>
        <w:rPr>
          <w:i/>
          <w:color w:val="444444"/>
          <w:sz w:val="19"/>
        </w:rPr>
        <w:t>"##"</w:t>
      </w:r>
    </w:p>
    <w:p>
      <w:pPr>
        <w:pStyle w:val="Heading3"/>
      </w:pPr>
      <w:r>
        <w:rPr>
          <w:color w:val="BF360C"/>
        </w:rPr>
        <w:t>Para Discusión</w:t>
      </w:r>
    </w:p>
    <w:p>
      <w:pPr>
        <w:ind w:left="567" w:right="567"/>
      </w:pPr>
      <w:r>
        <w:rPr>
          <w:i/>
          <w:color w:val="444444"/>
          <w:sz w:val="19"/>
        </w:rPr>
        <w:t>""High levels of individual policy capacity may not guarantee policy effectiveness""</w:t>
      </w:r>
    </w:p>
    <w:p>
      <w:pPr>
        <w:ind w:left="567" w:right="567"/>
      </w:pPr>
      <w:r>
        <w:rPr>
          <w:i/>
          <w:color w:val="444444"/>
          <w:sz w:val="19"/>
        </w:rPr>
        <w:t>""Wide range of organizations affect the government's own capacity to perform""</w:t>
      </w:r>
    </w:p>
    <w:p>
      <w:pPr>
        <w:ind w:left="567" w:right="567"/>
      </w:pPr>
      <w:r>
        <w:rPr>
          <w:i/>
          <w:color w:val="444444"/>
          <w:sz w:val="19"/>
        </w:rPr>
        <w:t>""Political support both from above and below is vital for agencies""</w:t>
      </w:r>
    </w:p>
    <w:p>
      <w:pPr>
        <w:ind w:left="567" w:right="567"/>
      </w:pPr>
      <w:r>
        <w:rPr>
          <w:i/>
          <w:color w:val="444444"/>
          <w:sz w:val="19"/>
        </w:rPr>
        <w:t>""Nature of challenges in performing policy functions is quite different""</w:t>
      </w:r>
    </w:p>
    <w:p>
      <w:pPr>
        <w:ind w:left="567" w:right="567"/>
      </w:pPr>
      <w:r>
        <w:rPr>
          <w:i/>
          <w:color w:val="444444"/>
          <w:sz w:val="19"/>
        </w:rPr>
        <w:t>"##"</w:t>
      </w:r>
    </w:p>
    <w:p>
      <w:pPr>
        <w:pStyle w:val="Heading2"/>
      </w:pPr>
      <w:r>
        <w:rPr>
          <w:color w:val="1B4332"/>
        </w:rPr>
        <w:t>X | Vacíos estratégicos</w:t>
      </w:r>
    </w:p>
    <w:p>
      <w:r>
        <w:rPr>
          <w:sz w:val="20"/>
        </w:rPr>
        <w:t>1. No proporciona instrumentos de medición operativos</w:t>
        <w:br/>
        <w:t>2. Carece de evidencia empírica sobre efectividad diferencial de intervenciones</w:t>
        <w:br/>
        <w:t>3. No aborda específicamente contextos de alta dependencia de contratistas</w:t>
        <w:br/>
        <w:t>4. Ausencia de análisis sobre sustainability de capacity building</w:t>
        <w:br/>
        <w:t>5. No considera variaciones por tipo de política pública</w:t>
        <w:br/>
        <w:t>6. Falta análisis de trade-offs entre diferentes tipos de capacidad</w:t>
        <w:br/>
        <w:br/>
        <w:t>##</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es absolutamente fundamental para el proyecto Rionegro por ser la fuente original del Policy Capacities Framework que constituye el marco teórico central. Aporta la conceptualización completa de las 9 celdas que estructuran toda la investigación, proporcionando definiciones precisas de cada tipo de competencia (analítica, operativa, política) y nivel de capacidad (individual, organizacional, sistémico). Su mayor contribución al proyecto es proporcionar la base teórica que permite operacionalizar y medir sistemáticamente las capacidades estatales en Rionegro. El marco anidado que propone es especialmente relevante para entender cómo las limitaciones sistémicas (como la dependencia de contratistas) afectan las capacidades organizacionales e individuales. La advertencia sobre fallas de política por desbalances en la matriz de capacidades ofrece una hipótesis central para interpretar los resultados de la intervención longitudinal en las 7 políticas públicas de Rionegro.</w:t>
            </w:r>
          </w:p>
        </w:tc>
      </w:tr>
    </w:tbl>
    <w:p/>
    <w:p>
      <w:pPr>
        <w:jc w:val="right"/>
      </w:pPr>
      <w:r>
        <w:rPr>
          <w:i/>
          <w:color w:val="999999"/>
          <w:sz w:val="16"/>
        </w:rPr>
        <w:t>Ficha generada automáticamente · 13/04/2026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