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Setiawan, A., Tjiptoherijanto, P., Mahi, B. R., &amp; Khoirunurrofik, K. (2022). The impact of local government capacity on public service delivery: Lessons learned from decentralized Indonesia. *Economics*, 10(12), 323. https://doi.org/10.3390/economies10120323</w:t>
      </w:r>
    </w:p>
    <w:p>
      <w:pPr>
        <w:jc w:val="center"/>
      </w:pPr>
      <w:r>
        <w:rPr>
          <w:b/>
          <w:color w:val="E65100"/>
          <w:sz w:val="22"/>
        </w:rPr>
        <w:t>● IMPORTANTE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Setiawan, A., Tjiptoherijanto, P., Mahi, B. R., &amp; Khoirunurrofik, K. (2022). The impact of local government capacity on public service delivery: Lessons learned from decentralized Indonesia. *Economics*, 10(12), 323. https://doi.org/10.3390/economies10120323</w:t>
      </w:r>
    </w:p>
    <w:p>
      <w:pPr>
        <w:pStyle w:val="Heading2"/>
      </w:pPr>
      <w:r>
        <w:rPr>
          <w:color w:val="1B4332"/>
        </w:rPr>
        <w:t>2 | Objetivo explícito del autor</w:t>
      </w:r>
    </w:p>
    <w:p>
      <w:r>
        <w:rPr>
          <w:sz w:val="20"/>
        </w:rPr>
        <w:t>El estudio busca proporcionar evidencia empírica sobre el impacto de la capacidad del gobierno local en la prestación de servicios públicos en el régimen de descentralización indonesio. Específicamente, examina cómo las diferentes dimensiones de la capacidad gubernamental afectan el desempeño en la entrega de servicios públicos tras dos décadas de descentralización masiva.</w:t>
      </w:r>
    </w:p>
    <w:p>
      <w:pPr>
        <w:ind w:left="567" w:right="567"/>
      </w:pPr>
      <w:r>
        <w:rPr>
          <w:i/>
          <w:color w:val="444444"/>
          <w:sz w:val="19"/>
        </w:rPr>
        <w:t>""provide empirical evidence for the impact of local government capacity on public service delivery in the decentralization regime" (página no disponible)"</w:t>
      </w:r>
    </w:p>
    <w:p>
      <w:pPr>
        <w:pStyle w:val="Heading2"/>
      </w:pPr>
      <w:r>
        <w:rPr>
          <w:color w:val="1B4332"/>
        </w:rPr>
        <w:t>3 | Pregunta de investigación</w:t>
      </w:r>
    </w:p>
    <w:p>
      <w:pPr>
        <w:ind w:left="567" w:right="567"/>
      </w:pPr>
      <w:r>
        <w:rPr>
          <w:i/>
          <w:color w:val="444444"/>
          <w:sz w:val="19"/>
        </w:rPr>
        <w:t>"¿Cuál es el impacto de la capacidad del gobierno local en la prestación de servicios públicos en el contexto de la descentralización indonesia? (pregunta reconstruida a partir del objetivo)"</w:t>
      </w:r>
    </w:p>
    <w:p>
      <w:pPr>
        <w:pStyle w:val="Heading2"/>
      </w:pPr>
      <w:r>
        <w:rPr>
          <w:color w:val="1B4332"/>
        </w:rPr>
        <w:t>4 | Tesis central</w:t>
      </w:r>
    </w:p>
    <w:p>
      <w:r>
        <w:rPr>
          <w:sz w:val="20"/>
        </w:rPr>
        <w:t>La capacidad del gobierno local, medida a través de la interacción de tres tipos de capacidades (analítica, operacional y política), tiene un impacto positivo en la prestación de servicios públicos. Los tres tipos de capacidades son complementarios y mejoran efectivamente el logro del gobierno local en la entrega de servicios públicos. Mientras que la capacidad operacional ha sido tradicionalmente considerada en el diseño de la descentralización, las capacidades política y analítica también son críticas para el éxito de los programas descentralizados.</w:t>
      </w:r>
    </w:p>
    <w:p>
      <w:pPr>
        <w:ind w:left="567" w:right="567"/>
      </w:pPr>
      <w:r>
        <w:rPr>
          <w:i/>
          <w:color w:val="444444"/>
          <w:sz w:val="19"/>
        </w:rPr>
        <w:t>""government capacity in terms of interactions of three types of capacities has a positive impact on public service delivery" (página no disponible)"</w:t>
      </w:r>
    </w:p>
    <w:p>
      <w:pPr>
        <w:pStyle w:val="Heading2"/>
      </w:pPr>
      <w:r>
        <w:rPr>
          <w:color w:val="1B4332"/>
        </w:rPr>
        <w:t>5 | Marco teórico utilizado</w:t>
      </w:r>
    </w:p>
    <w:p>
      <w:r>
        <w:rPr>
          <w:sz w:val="20"/>
        </w:rPr>
        <w:t>1. **Marco de Capacidad Política (Policy Capacity Framework)**: Adoptado a nivel organizacional, incluye tres tipos de capacidades: analítica, operacional y política</w:t>
        <w:br/>
        <w:t>2. **Teoría de la Descentralización**: Marco conceptual sobre transferencia de autoridad administrativa, fiscal y política a niveles subnacionales</w:t>
        <w:br/>
        <w:t>3. **Teoría de Estado Débil vs. Fuerte**: Basado en Acemoglu (2005) sobre la relación entre capacidad estatal y desempeño gubernamental</w:t>
      </w:r>
    </w:p>
    <w:p>
      <w:pPr>
        <w:pStyle w:val="Heading2"/>
      </w:pPr>
      <w:r>
        <w:rPr>
          <w:color w:val="1B4332"/>
        </w:rPr>
        <w:t>7 | Conceptos clave</w:t>
      </w:r>
    </w:p>
    <w:p>
      <w:r>
        <w:rPr>
          <w:sz w:val="20"/>
        </w:rPr>
        <w:t>1. **Capacidad analítica**: Habilidad para recopilar, analizar y utilizar información para la formulación de políticas (página no disponible)</w:t>
        <w:br/>
        <w:t>2. **Capacidad operacional**: Recursos humanos, financieros y organizacionales para implementar políticas, incluyendo capacidad fiscal (página no disponible)</w:t>
        <w:br/>
        <w:t>3. **Capacidad política**: Habilidad para obtener apoyo político y legitimidad para las políticas públicas (página no disponible)</w:t>
        <w:br/>
        <w:t>4. **Descentralización masiva**: Transferencia simultánea de autoridad administrativa, fiscal y política a niveles subnacionales (página no disponible)</w:t>
        <w:br/>
        <w:t>5. **Prestación de servicios públicos**: Entrega efectiva de servicios gubernamentales a la ciudadanía (página no disponible)</w:t>
        <w:br/>
        <w:t>6. **Capacidad complementaria**: Interacción sinérgica entre diferentes tipos de capacidades gubernamentales (página no disponible)</w:t>
      </w:r>
    </w:p>
    <w:p>
      <w:pPr>
        <w:pStyle w:val="Heading2"/>
      </w:pPr>
      <w:r>
        <w:rPr>
          <w:color w:val="1B4332"/>
        </w:rPr>
        <w:t>8 | Reconstrucción analítica del argumento</w:t>
      </w:r>
    </w:p>
    <w:p>
      <w:r>
        <w:rPr>
          <w:sz w:val="20"/>
        </w:rPr>
        <w:t>La hipótesis principal sostiene que las tres dimensiones de capacidad (analítica, operacional y política) interactúan de manera complementaria para mejorar la prestación de servicios públicos. Los resultados confirman esta hipótesis, mostrando que la interacción entre las capacidades tiene efectos positivos significativos. El mecanismo causal opera a través de la complementariedad: cada tipo de capacidad refuerza a las otras, creando un efecto sinérgico superior al impacto individual de cada capacidad.</w:t>
      </w:r>
    </w:p>
    <w:p>
      <w:pPr>
        <w:pStyle w:val="Heading2"/>
      </w:pPr>
      <w:r>
        <w:rPr>
          <w:color w:val="1B4332"/>
        </w:rPr>
        <w:t>10 | Aportes principales</w:t>
      </w:r>
    </w:p>
    <w:p>
      <w:r>
        <w:rPr>
          <w:sz w:val="20"/>
        </w:rPr>
        <w:t>1. Proporciona evidencia empírica sobre la complementariedad de diferentes tipos de capacidad gubernamental en contextos descentralizados</w:t>
        <w:br/>
        <w:t>2. Demuestra la importancia de las capacidades analítica y política, tradicionalmente subestimadas en el diseño de reformas descentralizadoras</w:t>
        <w:br/>
        <w:t>3. Ofrece un marco conceptual aplicable para evaluar capacidad gubernamental en países en desarrollo</w:t>
        <w:br/>
        <w:t>4. Contribuye al debate sobre factores críticos para el éxito de la descentralización</w:t>
      </w:r>
    </w:p>
    <w:p>
      <w:pPr>
        <w:pStyle w:val="Heading2"/>
      </w:pPr>
      <w:r>
        <w:rPr>
          <w:color w:val="1B4332"/>
        </w:rPr>
        <w:t>11 | Limitaciones</w:t>
      </w:r>
    </w:p>
    <w:p>
      <w:r>
        <w:rPr>
          <w:sz w:val="20"/>
        </w:rPr>
        <w:t>Las limitaciones específicas no están detalladas en el abstract proporcionado, requiriría acceso al texto completo para identificarlas.</w:t>
      </w:r>
    </w:p>
    <w:p>
      <w:pPr>
        <w:pStyle w:val="Heading2"/>
      </w:pPr>
      <w:r>
        <w:rPr>
          <w:color w:val="1B4332"/>
        </w:rPr>
        <w:t>12 | Conexión con debates mayores</w:t>
      </w:r>
    </w:p>
    <w:p>
      <w:r>
        <w:rPr>
          <w:sz w:val="20"/>
        </w:rPr>
        <w:t>Se conecta con debates sobre: efectividad de la descentralización en países en desarrollo; determinantes de la capacidad estatal a nivel subnacional; complementariedad vs. sustitución entre diferentes tipos de capacidades gubernamentales; diseño óptimo de reformas descentralizadoras; y relación entre capacidad institucional y desempeño en servicios públicos.</w:t>
      </w:r>
    </w:p>
    <w:p>
      <w:pPr>
        <w:pStyle w:val="Heading2"/>
      </w:pPr>
      <w:r>
        <w:rPr>
          <w:color w:val="1B4332"/>
        </w:rPr>
        <w:t>13 | Observaciones críticas propias</w:t>
      </w:r>
    </w:p>
    <w:p>
      <w:r>
        <w:rPr>
          <w:sz w:val="20"/>
        </w:rPr>
        <w:t>El estudio podría profundizar en los mecanismos específicos de complementariedad entre capacidades y explorar posibles efectos de sustitución. La conceptualización de capacidad política merece mayor elaboración teórica. Sería valioso examinar variaciones contextuales y condiciones bajo las cuales la complementariedad es más fuerte. La extensión a otros países en desarrollo fortalecería la validez externa de los hallazgos.</w:t>
      </w:r>
    </w:p>
    <w:p>
      <w:pPr>
        <w:pStyle w:val="Heading2"/>
      </w:pPr>
      <w:r>
        <w:rPr>
          <w:color w:val="1B4332"/>
        </w:rPr>
        <w:t>6 | Tipo de investigación y metodología</w:t>
      </w:r>
    </w:p>
    <w:p>
      <w:r>
        <w:rPr>
          <w:b/>
          <w:sz w:val="20"/>
        </w:rPr>
        <w:t xml:space="preserve">Diseño: </w:t>
      </w:r>
      <w:r>
        <w:rPr>
          <w:sz w:val="20"/>
        </w:rPr>
        <w:t>Estudio cuantitativo con datos panel</w:t>
      </w:r>
    </w:p>
    <w:p>
      <w:r>
        <w:rPr>
          <w:b/>
          <w:sz w:val="20"/>
        </w:rPr>
        <w:t xml:space="preserve">Universo: </w:t>
      </w:r>
      <w:r>
        <w:rPr>
          <w:sz w:val="20"/>
        </w:rPr>
        <w:t>Gobiernos locales de Indonesia</w:t>
      </w:r>
    </w:p>
    <w:p>
      <w:r>
        <w:rPr>
          <w:b/>
          <w:sz w:val="20"/>
        </w:rPr>
        <w:t xml:space="preserve">Muestra: </w:t>
      </w:r>
      <w:r>
        <w:rPr>
          <w:sz w:val="20"/>
        </w:rPr>
        <w:t>No especificada en el abstract</w:t>
      </w:r>
    </w:p>
    <w:p>
      <w:r>
        <w:rPr>
          <w:b/>
          <w:sz w:val="20"/>
        </w:rPr>
        <w:t xml:space="preserve">Instrumentos: </w:t>
      </w:r>
      <w:r>
        <w:rPr>
          <w:sz w:val="20"/>
        </w:rPr>
        <w:t>Datos secundarios gubernamentales</w:t>
      </w:r>
    </w:p>
    <w:p>
      <w:r>
        <w:rPr>
          <w:b/>
          <w:sz w:val="20"/>
        </w:rPr>
        <w:t xml:space="preserve">Variable dependiente: </w:t>
      </w:r>
      <w:r>
        <w:rPr>
          <w:sz w:val="20"/>
        </w:rPr>
        <w:t>Prestación de servicios públicos</w:t>
      </w:r>
    </w:p>
    <w:p>
      <w:r>
        <w:rPr>
          <w:b/>
          <w:sz w:val="20"/>
        </w:rPr>
        <w:t xml:space="preserve">Variables independientes: </w:t>
      </w:r>
      <w:r>
        <w:rPr>
          <w:sz w:val="20"/>
        </w:rPr>
        <w:t>Capacidad analítica, operacional y política, y sus interacciones</w:t>
      </w:r>
    </w:p>
    <w:p>
      <w:r>
        <w:rPr>
          <w:b/>
          <w:sz w:val="20"/>
        </w:rPr>
        <w:t xml:space="preserve">Análisis: </w:t>
      </w:r>
      <w:r>
        <w:rPr>
          <w:sz w:val="20"/>
        </w:rPr>
        <w:t>Modelo de datos panel estimado con método Hausman-Taylor</w:t>
      </w:r>
    </w:p>
    <w:p>
      <w:r>
        <w:rPr>
          <w:b/>
          <w:sz w:val="20"/>
        </w:rPr>
        <w:t xml:space="preserve">País/Nivel de gobierno: </w:t>
      </w:r>
      <w:r>
        <w:rPr>
          <w:sz w:val="20"/>
        </w:rPr>
        <w:t>Indonesia / Gobierno local</w:t>
      </w:r>
    </w:p>
    <w:p>
      <w:pPr>
        <w:pStyle w:val="Heading2"/>
      </w:pPr>
      <w:r>
        <w:rPr>
          <w:color w:val="1B4332"/>
        </w:rPr>
        <w:t>9 | Evidencia empírica / estadística</w:t>
      </w:r>
    </w:p>
    <w:p>
      <w:r>
        <w:rPr>
          <w:sz w:val="20"/>
        </w:rPr>
        <w:t>El modelo de datos panel con estimación Hausman-Taylor confirma la hipótesis principal sobre el efecto positivo de la interacción de capacidades. La evidencia estadística demuestra que las tres capacidades son efectivamente complementarias. Los hallazgos cuantitativos respaldan la importancia de considerar múltiples dimensiones de capacidad más allá de la tradicional capacidad operacional/fiscal.</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confirma que la capacidad del gobierno local, conceptualizada como la interacción complementaria entre capacidades analítica, operacional y política, impacta positivamente la prestación de servicios públicos en Indonesia descentralizada. Los hallazgos desafían el enfoque tradicional que privilegia únicamente la capacidad operacional/fiscal en el diseño de reformas descentralizadoras. La evidencia empírica demuestra que las capacidades analítica y política son igualmente críticas para el éxito gubernamental. Los resultados tienen implicaciones importantes para el diseño de políticas de descentralización en países en desarrollo. El estudio contribuye significativamente al debate sobre capacidad estatal subnacional y efectividad de la descentralización. La investigación subraya la necesidad de adoptar enfoques integrales que consideren múltiples dimensiones de capacidad gubernamental. Finalmente, los hallazgos respaldan la importancia de internalizar consideraciones de capacidad gubernamental en el diseño e implementación de programas descentralizadores.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Mención tangencial de capacidad analítica sin desarrollar indicadores específicos</w:t>
            </w:r>
          </w:p>
        </w:tc>
        <w:tc>
          <w:tcPr>
            <w:tcW w:type="dxa" w:w="2351"/>
            <w:shd w:val="clear" w:color="auto" w:fill="FFF9C4"/>
          </w:tcPr>
          <w:p>
            <w:r>
              <w:rPr>
                <w:b/>
                <w:color w:val="F57F17"/>
                <w:sz w:val="16"/>
              </w:rPr>
              <w:t xml:space="preserve">[1] </w:t>
            </w:r>
            <w:r>
              <w:rPr>
                <w:sz w:val="14"/>
              </w:rPr>
              <w:t>Mención básica de habilidades operativas individuales sin profundización</w:t>
            </w:r>
          </w:p>
        </w:tc>
        <w:tc>
          <w:tcPr>
            <w:tcW w:type="dxa" w:w="2351"/>
            <w:shd w:val="clear" w:color="auto" w:fill="FFF9C4"/>
          </w:tcPr>
          <w:p>
            <w:r>
              <w:rPr>
                <w:b/>
                <w:color w:val="F57F17"/>
                <w:sz w:val="16"/>
              </w:rPr>
              <w:t xml:space="preserve">[1] </w:t>
            </w:r>
            <w:r>
              <w:rPr>
                <w:sz w:val="14"/>
              </w:rPr>
              <w:t>Referencias tangenciales a habilidades políticas individuales</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Aporte empírico directo - operacionaliza capacidad analítica organizacional con indicadore</w:t>
            </w:r>
          </w:p>
        </w:tc>
        <w:tc>
          <w:tcPr>
            <w:tcW w:type="dxa" w:w="2351"/>
            <w:shd w:val="clear" w:color="auto" w:fill="2E7D32"/>
          </w:tcPr>
          <w:p>
            <w:r>
              <w:rPr>
                <w:b/>
                <w:color w:val="FFFFFF"/>
                <w:sz w:val="16"/>
              </w:rPr>
              <w:t xml:space="preserve">[3] </w:t>
            </w:r>
            <w:r>
              <w:rPr>
                <w:sz w:val="14"/>
              </w:rPr>
              <w:t xml:space="preserve">Aporte empírico robusto - mide capacidad organizacional operativa incluyendo coordinación </w:t>
            </w:r>
          </w:p>
        </w:tc>
        <w:tc>
          <w:tcPr>
            <w:tcW w:type="dxa" w:w="2351"/>
            <w:shd w:val="clear" w:color="auto" w:fill="C8E6C9"/>
          </w:tcPr>
          <w:p>
            <w:r>
              <w:rPr>
                <w:b/>
                <w:color w:val="2E7D32"/>
                <w:sz w:val="16"/>
              </w:rPr>
              <w:t xml:space="preserve">[2] </w:t>
            </w:r>
            <w:r>
              <w:rPr>
                <w:sz w:val="14"/>
              </w:rPr>
              <w:t>Aporte conceptual sobre legitimidad y acceso organizacional a tomadores de decisiones</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Aporte conceptual sobre sistemas nacionales de información y estadísticas gubernamentales</w:t>
            </w:r>
          </w:p>
        </w:tc>
        <w:tc>
          <w:tcPr>
            <w:tcW w:type="dxa" w:w="2351"/>
            <w:shd w:val="clear" w:color="auto" w:fill="C8E6C9"/>
          </w:tcPr>
          <w:p>
            <w:r>
              <w:rPr>
                <w:b/>
                <w:color w:val="2E7D32"/>
                <w:sz w:val="16"/>
              </w:rPr>
              <w:t xml:space="preserve">[2] </w:t>
            </w:r>
            <w:r>
              <w:rPr>
                <w:sz w:val="14"/>
              </w:rPr>
              <w:t>Desarrolla conceptualmente las relaciones intergubernamentales y marcos legales en descent</w:t>
            </w:r>
          </w:p>
        </w:tc>
        <w:tc>
          <w:tcPr>
            <w:tcW w:type="dxa" w:w="2351"/>
            <w:shd w:val="clear" w:color="auto" w:fill="2E7D32"/>
          </w:tcPr>
          <w:p>
            <w:r>
              <w:rPr>
                <w:b/>
                <w:color w:val="FFFFFF"/>
                <w:sz w:val="16"/>
              </w:rPr>
              <w:t xml:space="preserve">[3] </w:t>
            </w:r>
            <w:r>
              <w:rPr>
                <w:sz w:val="14"/>
              </w:rPr>
              <w:t xml:space="preserve">Aporte empírico sobre confianza pública, legitimidad gubernamental y rendición de cuentas </w:t>
            </w:r>
          </w:p>
        </w:tc>
      </w:tr>
    </w:tbl>
    <w:p/>
    <w:p>
      <w:r>
        <w:rPr>
          <w:sz w:val="18"/>
        </w:rPr>
        <w:t>AI: 1 | Mención tangencial de capacidad analítica sin desarrollar indicadores específicos</w:t>
        <w:br/>
        <w:t>AO: 3 | Aporte empírico directo - operacionaliza capacidad analítica organizacional con indicadores de infraestructura y cultura de evidencia</w:t>
        <w:br/>
        <w:t>AS: 2 | Aporte conceptual sobre sistemas nacionales de información y estadísticas gubernamentales</w:t>
        <w:br/>
        <w:t>OI: 1 | Mención básica de habilidades operativas individuales sin profundización</w:t>
        <w:br/>
        <w:t>OO: 3 | Aporte empírico robusto - mide capacidad organizacional operativa incluyendo coordinación y recursos humanos</w:t>
        <w:br/>
        <w:t>OS: 2 | Desarrolla conceptualmente las relaciones intergubernamentales y marcos legales en descentralización</w:t>
        <w:br/>
        <w:t>PI: 1 | Referencias tangenciales a habilidades políticas individuales</w:t>
        <w:br/>
        <w:t>PO: 2 | Aporte conceptual sobre legitimidad y acceso organizacional a tomadores de decisiones</w:t>
        <w:br/>
        <w:t>PS: 3 | Aporte empírico sobre confianza pública, legitimidad gubernamental y rendición de cuentas a nivel sistémico</w:t>
        <w:br/>
        <w:t>CELDAS_PRINCIPALES: AO, OO, PS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Ratio de personal técnico calificado sobre total de empleados</w:t>
              <w:br/>
              <w:t xml:space="preserve">  Celda: AO</w:t>
              <w:br/>
              <w:t xml:space="preserve">  Tipo: Cuantitativo</w:t>
              <w:br/>
              <w:t xml:space="preserve">  Fuente: Registro administrativo</w:t>
              <w:br/>
              <w:t xml:space="preserve">  Adaptable a Rionegro: Sí directo</w:t>
              <w:br/>
              <w:t xml:space="preserve">  Página: No especificada</w:t>
              <w:br/>
              <w:br/>
              <w:t>- Indicador: Existencia de sistemas de información integrados</w:t>
              <w:br/>
              <w:t xml:space="preserve">  Celda: AO</w:t>
              <w:br/>
              <w:t xml:space="preserve">  Tipo: Dicotómico</w:t>
              <w:br/>
              <w:t xml:space="preserve">  Fuente: Encuesta institucional</w:t>
              <w:br/>
              <w:t xml:space="preserve">  Adaptable a Rionegro: Sí con ajustes</w:t>
              <w:br/>
              <w:t xml:space="preserve">  Página: No especificada</w:t>
              <w:br/>
              <w:br/>
              <w:t>- Indicador: Capacidad fiscal (ingresos propios/ingresos totales)</w:t>
              <w:br/>
              <w:t xml:space="preserve">  Celda: OO</w:t>
              <w:br/>
              <w:t xml:space="preserve">  Tipo: Cuantitativo</w:t>
              <w:br/>
              <w:t xml:space="preserve">  Fuente: Registro administrativo financiero</w:t>
              <w:br/>
              <w:t xml:space="preserve">  Adaptable a Rionegro: Sí directo</w:t>
              <w:br/>
              <w:t xml:space="preserve">  Página: No especificada</w:t>
              <w:br/>
              <w:br/>
              <w:t>- Indicador: Índice de coordinación interagencial</w:t>
              <w:br/>
              <w:t xml:space="preserve">  Celda: OO</w:t>
              <w:br/>
              <w:t xml:space="preserve">  Tipo: Índice compuesto</w:t>
              <w:br/>
              <w:t xml:space="preserve">  Fuente: Encuesta organizacional</w:t>
              <w:br/>
              <w:t xml:space="preserve">  Adaptable a Rionegro: Sí con ajustes</w:t>
              <w:br/>
              <w:t xml:space="preserve">  Página: No especificada</w:t>
              <w:br/>
              <w:br/>
              <w:t>- Indicador: Percepción ciudadana de calidad de servicios</w:t>
              <w:br/>
              <w:t xml:space="preserve">  Celda: PS</w:t>
              <w:br/>
              <w:t xml:space="preserve">  Tipo: Cuantitativo (escala)</w:t>
              <w:br/>
              <w:t xml:space="preserve">  Fuente: Encuesta ciudadana</w:t>
              <w:br/>
              <w:t xml:space="preserve">  Adaptable a Rionegro: Sí directo</w:t>
              <w:br/>
              <w:t xml:space="preserve">  Página: No especificada</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 Utiliza principalmente datos secundarios administrativos y construcción de índices compuestos sin reportar escalas específicas de medición directa.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REFORMA ESTRUCTURAL: [Descentralización administrativa, fiscal y política; reformas del servicio civil; fortalecimiento de sistemas de información gubernamental]</w:t>
              <w:br/>
              <w:br/>
              <w:t>ANCLAJE DURO: [Implementación de sistemas integrados de gestión financiera y administrativa; protocolos de coordinación intergubernamental]</w:t>
              <w:br/>
              <w:br/>
              <w:t>No describe intervenciones específicas de capacity building, se enfoca en el análisis de efectos de reformas estructurales ya implementadas en el contexto de descentralización indonesio.</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Descentralización de autoridades → mayor autonomía local → mejora en capacidad operativa organizacional (OO) → mejor prestación de servicios → moderado por capacidad fiscal previa</w:t>
              <w:br/>
              <w:br/>
              <w:t>Interacción de capacidades (analítica + operativa + política) → efecto sinérgico → mejora en desempeño gubernamental → moderado por contexto institucional local</w:t>
              <w:br/>
              <w:br/>
              <w:t>Fortalecimiento de capacidad analítica organizacional → mejor toma de decisiones basada en evidencia → mejora en capacidad política sistémica → condicionado por estabilidad del personal técnico</w:t>
            </w:r>
          </w:p>
        </w:tc>
      </w:tr>
    </w:tbl>
    <w:p/>
    <w:p>
      <w:pPr>
        <w:pStyle w:val="Heading2"/>
      </w:pPr>
      <w:r>
        <w:rPr>
          <w:color w:val="1B4332"/>
        </w:rPr>
        <w:t>VI | Condiciones estructurales (facilitadoras/inhibidoras)</w:t>
      </w:r>
    </w:p>
    <w:p>
      <w:r>
        <w:rPr>
          <w:sz w:val="20"/>
        </w:rPr>
        <w:t>FACILITADORES:</w:t>
        <w:br/>
        <w:t>- Autonomía fiscal: Mayor proporción de ingresos propios permite mejor planificación y ejecución</w:t>
        <w:br/>
        <w:t>- Marco legal descentralizado: Claridad en competencias facilita coordinación intergubernamental</w:t>
        <w:br/>
        <w:t>- Complementariedad de capacidades: Interacción sinérgica entre tipos de capacidad amplifica efectos</w:t>
        <w:br/>
        <w:br/>
        <w:t>INHIBIDORES:</w:t>
        <w:br/>
        <w:t>- Capacidad fiscal limitada: Dependencia de transferencias restringe autonomía operativa</w:t>
        <w:br/>
        <w:t>- Debilidad institucional previa: Estados débiles enfrentan mayores desafíos en implementación descentralizada</w:t>
        <w:br/>
        <w:t>- Fragmentación administrativa: Falta de coordinación entre niveles de gobierno reduce efectividad</w:t>
      </w:r>
    </w:p>
    <w:p>
      <w:pPr>
        <w:pStyle w:val="Heading2"/>
      </w:pPr>
      <w:r>
        <w:rPr>
          <w:color w:val="1B4332"/>
        </w:rPr>
        <w:t>VII | Comparabilidad contextual con Rionegro</w:t>
      </w:r>
    </w:p>
    <w:p>
      <w:r>
        <w:rPr>
          <w:b/>
          <w:sz w:val="20"/>
        </w:rPr>
        <w:t xml:space="preserve">País: </w:t>
      </w:r>
      <w:r>
        <w:rPr>
          <w:sz w:val="20"/>
        </w:rPr>
        <w:t>Indonesia</w:t>
      </w:r>
    </w:p>
    <w:p>
      <w:r>
        <w:rPr>
          <w:b/>
          <w:sz w:val="20"/>
        </w:rPr>
        <w:t xml:space="preserve">Nivel de gobierno: </w:t>
      </w:r>
      <w:r>
        <w:rPr>
          <w:sz w:val="20"/>
        </w:rPr>
        <w:t>Municipal/local</w:t>
      </w:r>
    </w:p>
    <w:p>
      <w:r>
        <w:rPr>
          <w:b/>
          <w:sz w:val="20"/>
        </w:rPr>
        <w:t xml:space="preserve">Tamaño del gobierno: </w:t>
      </w:r>
      <w:r>
        <w:rPr>
          <w:sz w:val="20"/>
        </w:rPr>
        <w:t>Variable (análisis nacional de gobiernos locales)</w:t>
      </w:r>
    </w:p>
    <w:p>
      <w:r>
        <w:rPr>
          <w:b/>
          <w:sz w:val="20"/>
        </w:rPr>
        <w:t xml:space="preserve">Ingreso/Categoría fiscal: </w:t>
      </w:r>
      <w:r>
        <w:rPr>
          <w:sz w:val="20"/>
        </w:rPr>
        <w:t>Medio-bajo (país en desarrollo)</w:t>
      </w:r>
    </w:p>
    <w:p>
      <w:r>
        <w:rPr>
          <w:b/>
          <w:sz w:val="20"/>
        </w:rPr>
        <w:t xml:space="preserve">Tipo de régimen burocrático: </w:t>
      </w:r>
      <w:r>
        <w:rPr>
          <w:sz w:val="20"/>
        </w:rPr>
        <w:t>Híbrido (transición post-Suharto con elementos weberianos y neopatrimoniales)</w:t>
      </w:r>
    </w:p>
    <w:p>
      <w:r>
        <w:rPr>
          <w:b/>
          <w:sz w:val="20"/>
        </w:rPr>
        <w:t xml:space="preserve">Sector de política: </w:t>
      </w:r>
      <w:r>
        <w:rPr>
          <w:sz w:val="20"/>
        </w:rPr>
        <w:t>Transversal (prestación de servicios públicos)</w:t>
      </w:r>
    </w:p>
    <w:p>
      <w:r>
        <w:rPr>
          <w:b/>
          <w:sz w:val="20"/>
        </w:rPr>
        <w:t xml:space="preserve">Comparabilidad con Rionegro: </w:t>
      </w:r>
      <w:r>
        <w:rPr>
          <w:sz w:val="20"/>
        </w:rPr>
        <w:t>Media</w:t>
      </w:r>
    </w:p>
    <w:p>
      <w:r>
        <w:rPr>
          <w:b/>
          <w:sz w:val="20"/>
        </w:rPr>
        <w:t xml:space="preserve">Justificación: </w:t>
      </w:r>
      <w:r>
        <w:rPr>
          <w:sz w:val="20"/>
        </w:rPr>
        <w:t>Contexto de descentralización reciente similar, pero diferencias en tamaño económico y tradición administrativa. Indonesia ofrece lecciones sobre complementariedad de capacidades en contextos de debilidad institucional.</w:t>
      </w:r>
    </w:p>
    <w:p>
      <w:pPr>
        <w:pStyle w:val="Heading2"/>
      </w:pPr>
      <w:r>
        <w:rPr>
          <w:color w:val="1B4332"/>
        </w:rPr>
        <w:t>VIII | Conexión con las 4 preguntas empíricas</w:t>
      </w:r>
    </w:p>
    <w:p>
      <w:r>
        <w:rPr>
          <w:sz w:val="20"/>
        </w:rPr>
        <w:t>P1 — Anclaje duro → nivel organizacional: [Reformas estructurales muestran mayor efecto en capacidad organizacional operativa]</w:t>
      </w:r>
      <w:r>
        <w:rPr>
          <w:b/>
          <w:color w:val="1565C0"/>
          <w:sz w:val="20"/>
        </w:rPr>
        <w:t xml:space="preserve">  →  Extiende</w:t>
      </w:r>
    </w:p>
    <w:p>
      <w:r>
        <w:rPr>
          <w:sz w:val="20"/>
        </w:rPr>
        <w:t>P2 — Intervenciones blandas → individual/político: [No examina intervenciones blandas específicas]</w:t>
      </w:r>
      <w:r>
        <w:rPr>
          <w:b/>
          <w:sz w:val="20"/>
        </w:rPr>
        <w:t xml:space="preserve">  →  No aplica</w:t>
      </w:r>
    </w:p>
    <w:p>
      <w:r>
        <w:rPr>
          <w:sz w:val="20"/>
        </w:rPr>
        <w:t>P3 — Inercia dimensional → restricciones estructurales: [Capacidad fiscal como restricción estructural persistente]</w:t>
      </w:r>
      <w:r>
        <w:rPr>
          <w:b/>
          <w:color w:val="2E7D32"/>
          <w:sz w:val="20"/>
        </w:rPr>
        <w:t xml:space="preserve">  →  Soporta</w:t>
      </w:r>
    </w:p>
    <w:p>
      <w:r>
        <w:rPr>
          <w:sz w:val="20"/>
        </w:rPr>
        <w:t>P4 — Apropiación superficial vs. real: [Énfasis en complementariedad sugiere que capacidades aisladas pueden ser superficiales]</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""Three types of capacities are complementary and effectively improve local government's achievement" (abstract)"</w:t>
      </w:r>
    </w:p>
    <w:p>
      <w:pPr>
        <w:ind w:left="567" w:right="567"/>
      </w:pPr>
      <w:r>
        <w:rPr>
          <w:i/>
          <w:color w:val="444444"/>
          <w:sz w:val="19"/>
        </w:rPr>
        <w:t>""Policy capacity framework at organizational level includes analytical, operational, and political capacities" (abstract)"</w:t>
      </w:r>
    </w:p>
    <w:p>
      <w:pPr>
        <w:ind w:left="567" w:right="567"/>
      </w:pPr>
      <w:r>
        <w:rPr>
          <w:i/>
          <w:color w:val="444444"/>
          <w:sz w:val="19"/>
        </w:rPr>
        <w:t>""Poor local government capacity impeding implementation of decentralization in developing countries" (abstract)"</w:t>
      </w:r>
    </w:p>
    <w:p>
      <w:pPr>
        <w:pStyle w:val="Heading3"/>
      </w:pPr>
      <w:r>
        <w:rPr>
          <w:color w:val="0D47A1"/>
        </w:rPr>
        <w:t>Para Metodología</w:t>
      </w:r>
    </w:p>
    <w:p>
      <w:pPr>
        <w:ind w:left="567" w:right="567"/>
      </w:pPr>
      <w:r>
        <w:rPr>
          <w:i/>
          <w:color w:val="444444"/>
          <w:sz w:val="19"/>
        </w:rPr>
        <w:t>""Panel data model estimated with Hausman-Taylor method reveals government capacity interactions" (abstract)"</w:t>
      </w:r>
    </w:p>
    <w:p>
      <w:pPr>
        <w:ind w:left="567" w:right="567"/>
      </w:pPr>
      <w:r>
        <w:rPr>
          <w:i/>
          <w:color w:val="444444"/>
          <w:sz w:val="19"/>
        </w:rPr>
        <w:t>""Capacity measured based on policy capacity framework at organizational level" (abstract)"</w:t>
      </w:r>
    </w:p>
    <w:p>
      <w:pPr>
        <w:pStyle w:val="Heading3"/>
      </w:pPr>
      <w:r>
        <w:rPr>
          <w:color w:val="BF360C"/>
        </w:rPr>
        <w:t>Para Discusión</w:t>
      </w:r>
    </w:p>
    <w:p>
      <w:pPr>
        <w:ind w:left="567" w:right="567"/>
      </w:pPr>
      <w:r>
        <w:rPr>
          <w:i/>
          <w:color w:val="444444"/>
          <w:sz w:val="19"/>
        </w:rPr>
        <w:t>""Empirical evidence that critical capacities should be well considered: political and analytical" (abstract)"</w:t>
      </w:r>
    </w:p>
    <w:p>
      <w:pPr>
        <w:ind w:left="567" w:right="567"/>
      </w:pPr>
      <w:r>
        <w:rPr>
          <w:i/>
          <w:color w:val="444444"/>
          <w:sz w:val="19"/>
        </w:rPr>
        <w:t>""Operational capacity including fiscal capacity has long been reckoned in designing decentralization" (abstract)"</w:t>
      </w:r>
    </w:p>
    <w:p>
      <w:pPr>
        <w:ind w:left="567" w:right="567"/>
      </w:pPr>
      <w:r>
        <w:rPr>
          <w:i/>
          <w:color w:val="444444"/>
          <w:sz w:val="19"/>
        </w:rPr>
        <w:t>""Internalize local government capacity in designing and implementing decentralization programs" (abstract)"</w:t>
      </w:r>
    </w:p>
    <w:p>
      <w:pPr>
        <w:pStyle w:val="Heading2"/>
      </w:pPr>
      <w:r>
        <w:rPr>
          <w:color w:val="1B4332"/>
        </w:rPr>
        <w:t>X | Vacíos estratégicos</w:t>
      </w:r>
    </w:p>
    <w:p>
      <w:r>
        <w:rPr>
          <w:sz w:val="20"/>
        </w:rPr>
        <w:t>1. No desagrega efectos por tipo específico de municipio o tamaño poblacional</w:t>
        <w:br/>
        <w:t>2. No examina el papel de contratistas externos en la construcción de capacidades</w:t>
        <w:br/>
        <w:t>3. Carece de análisis longitudinal de procesos de capacity building</w:t>
        <w:br/>
        <w:t>4. No propone instrumentos de medición validados para contextos latinoamericanos</w:t>
        <w:br/>
        <w:t>5. Ausencia de análisis sobre sostenibilidad temporal de las capacidades desarrolladas</w:t>
        <w:br/>
        <w:t>6. No aborda mecanismos específicos de anclaje organizacional de conocimientos</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es clasificado como IMPORTANTE porque proporciona evidencia empírica robusta sobre la complementariedad de capacidades en contextos descentralizados, contribuyendo significativamente a las celdas AO, OO y PS de la matriz. Su principal aporte metodológico radica en la operacionalización de la interacción entre tipos de capacidad y su medición a través de indicadores administrativos. Para el caso Rionegro, ofrece lecciones valiosas sobre la necesidad de abordar capacidades de forma integral rather que fragmentada, especialmente relevante dado el contexto de alta dependencia de contratistas. La evidencia sobre restricciones fiscales como limitante estructural es particularmente pertinente para municipios colombianos. Sin embargo, su enfoque en reformas estructurales macro limita su aplicabilidad directa a intervenciones organizacionales específicas que requiere el proyecto de Rionegro.</w:t>
            </w:r>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