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Wu, X., Ramesh, M., &amp; Howlett, M. (2015). Policy capacity: A conceptual framework for understanding policy competences and capabilities. Policy and Society, 34(3-4), 165-171. https://doi.org/10.1016/j.polsoc.2015.09.001</w:t>
      </w:r>
    </w:p>
    <w:p>
      <w:pPr>
        <w:jc w:val="center"/>
      </w:pPr>
      <w:r>
        <w:rPr>
          <w:b/>
          <w:color w:val="1B5E20"/>
          <w:sz w:val="22"/>
        </w:rPr>
        <w:t>● FUNDAMENTAL ● Puntaje matriz: 20/27</w:t>
      </w:r>
    </w:p>
    <w:p/>
    <w:p>
      <w:pPr>
        <w:pStyle w:val="Heading1"/>
      </w:pPr>
      <w:r>
        <w:rPr>
          <w:color w:val="1B4332"/>
        </w:rPr>
        <w:t>PARTE I — FICHA GENÉRICA DEL ARTÍCULO</w:t>
      </w:r>
    </w:p>
    <w:p>
      <w:pPr>
        <w:pStyle w:val="Heading2"/>
      </w:pPr>
      <w:r>
        <w:rPr>
          <w:color w:val="1B4332"/>
        </w:rPr>
        <w:t>1 | Referencia bibliográfica (APA 7)</w:t>
      </w:r>
    </w:p>
    <w:p>
      <w:r>
        <w:rPr>
          <w:sz w:val="20"/>
        </w:rPr>
        <w:t>Wu, X., Ramesh, M., &amp; Howlett, M. (2015). Policy capacity: A conceptual framework for understanding policy competences and capabilities. Policy and Society, 34(3-4), 165-171. https://doi.org/10.1016/j.polsoc.2015.09.001</w:t>
      </w:r>
    </w:p>
    <w:p>
      <w:pPr>
        <w:pStyle w:val="Heading2"/>
      </w:pPr>
      <w:r>
        <w:rPr>
          <w:color w:val="1B4332"/>
        </w:rPr>
        <w:t>2 | Objetivo explícito del autor</w:t>
      </w:r>
    </w:p>
    <w:p>
      <w:r>
        <w:rPr>
          <w:sz w:val="20"/>
        </w:rPr>
        <w:t>El artículo tiene como objetivo presentar un marco conceptual integral para analizar y medir la capacidad de políticas públicas (policy capacity) que permita operacionalizar este concepto fundamental pero controvertido. Busca superar la falta de consenso definitorio y proporcionar una herramienta diagnóstica práctica para identificar brechas de capacidad.</w:t>
      </w:r>
    </w:p>
    <w:p>
      <w:pPr>
        <w:ind w:left="567" w:right="567"/>
      </w:pPr>
      <w:r>
        <w:rPr>
          <w:i/>
          <w:color w:val="444444"/>
          <w:sz w:val="19"/>
        </w:rPr>
        <w:t>""This article serves to fill this gap and introduces a framework for analysing policy capacity" (p. 167)."</w:t>
      </w:r>
    </w:p>
    <w:p>
      <w:pPr>
        <w:pStyle w:val="Heading2"/>
      </w:pPr>
      <w:r>
        <w:rPr>
          <w:color w:val="1B4332"/>
        </w:rPr>
        <w:t>3 | Pregunta de investigación</w:t>
      </w:r>
    </w:p>
    <w:p>
      <w:pPr>
        <w:ind w:left="567" w:right="567"/>
      </w:pPr>
      <w:r>
        <w:rPr>
          <w:i/>
          <w:color w:val="444444"/>
          <w:sz w:val="19"/>
        </w:rPr>
        <w:t>"¿Cómo se puede conceptualizar y operacionalizar la capacidad de políticas públicas de manera integral que abarque todas sus dimensiones y niveles para facilitar su aplicación práctica?"</w:t>
      </w:r>
    </w:p>
    <w:p>
      <w:pPr>
        <w:pStyle w:val="Heading2"/>
      </w:pPr>
      <w:r>
        <w:rPr>
          <w:color w:val="1B4332"/>
        </w:rPr>
        <w:t>4 | Tesis central</w:t>
      </w:r>
    </w:p>
    <w:p>
      <w:r>
        <w:rPr>
          <w:sz w:val="20"/>
        </w:rPr>
        <w:t>La capacidad de políticas públicas debe conceptualizarse como el conjunto de competencias (skills) y capacidades (capabilities) necesarias para desempeñar funciones de política pública, organizadas en una matriz de 3x3. Las competencias se categorizan en analíticas, operacionales y políticas, mientras que las capacidades se evalúan en los niveles individual, organizacional y sistémico. Los fracasos de políticas públicas frecuentemente resultan de atención desbalanceada a estos nueve componentes diferentes de capacidad.</w:t>
      </w:r>
    </w:p>
    <w:p>
      <w:pPr>
        <w:ind w:left="567" w:right="567"/>
      </w:pPr>
      <w:r>
        <w:rPr>
          <w:i/>
          <w:color w:val="444444"/>
          <w:sz w:val="19"/>
        </w:rPr>
        <w:t>""Policy capacity refers to the competencies and capabilities important to policy-making" (p. 165)."</w:t>
      </w:r>
    </w:p>
    <w:p>
      <w:pPr>
        <w:pStyle w:val="Heading2"/>
      </w:pPr>
      <w:r>
        <w:rPr>
          <w:color w:val="1B4332"/>
        </w:rPr>
        <w:t>5 | Marco teórico utilizado</w:t>
      </w:r>
    </w:p>
    <w:p>
      <w:r>
        <w:rPr>
          <w:sz w:val="20"/>
        </w:rPr>
        <w:t>1. **Triángulo Estratégico de Moore (1995)**: Valor público, legitimidad y apoyo, y capacidad organizacional como elementos cruciales del funcionamiento efectivo de agencias públicas</w:t>
        <w:br/>
        <w:t>2. **Teoría de Capacidad de Política de Painter &amp; Pierre (2005)**: Capacidad como habilidad de movilizar recursos para decisiones colectivas inteligentes</w:t>
        <w:br/>
        <w:t>3. **Marco de Capacidad Gubernamental de Howlett &amp; Lindquist (2004)**: Capacidad para escanear el ambiente y establecer direcciones estratégicas</w:t>
        <w:br/>
        <w:t>4. **Teoría de Capacidad de Gobernanza**: Distinción entre capacidad de política y capacidad de gobernanza más amplia</w:t>
        <w:br/>
        <w:t>5. **Enfoques de Gestión Pública**: Perspectivas sobre capacidad organizacional y recursos</w:t>
      </w:r>
    </w:p>
    <w:p>
      <w:pPr>
        <w:pStyle w:val="Heading2"/>
      </w:pPr>
      <w:r>
        <w:rPr>
          <w:color w:val="1B4332"/>
        </w:rPr>
        <w:t>7 | Conceptos clave</w:t>
      </w:r>
    </w:p>
    <w:p>
      <w:r>
        <w:rPr>
          <w:sz w:val="20"/>
        </w:rPr>
        <w:t>1. **Capacidad de políticas públicas (Policy Capacity)**: "El conjunto de habilidades y recursos—o competencias y capacidades—necesarios para desempeñar funciones de política" (p. 167)</w:t>
        <w:br/>
        <w:t>2. **Competencias analíticas**: Habilidades para acceder y aplicar conocimiento técnico-científico y técnicas analíticas (p. 169)</w:t>
        <w:br/>
        <w:t>3. **Competencias operacionales**: Capacidades para alinear recursos con acciones de política para implementación práctica (p. 168)</w:t>
        <w:br/>
        <w:t>4. **Competencias políticas**: Habilidades para obtener y sostener apoyo político para acciones de política (p. 168)</w:t>
        <w:br/>
        <w:t>5. **Capacidades individuales**: Conocimiento sobre procesos de política, habilidades analíticas y evaluativas, experticia gerencial y juicio político de profesionales (p. 168)</w:t>
        <w:br/>
        <w:t>6. **Capacidades organizacionales**: Infraestructura de información, sistemas de gestión de recursos humanos y financieros, y apoyo político disponible a nivel organizacional (p. 168)</w:t>
        <w:br/>
        <w:t>7. **Capacidades sistémicas**: Nivel de apoyo y confianza que disfruta una agencia pública, naturaleza de sistemas económicos y de seguridad, recursos disponibles (p. 168)</w:t>
      </w:r>
    </w:p>
    <w:p>
      <w:pPr>
        <w:pStyle w:val="Heading2"/>
      </w:pPr>
      <w:r>
        <w:rPr>
          <w:color w:val="1B4332"/>
        </w:rPr>
        <w:t>8 | Reconstrucción analítica del argumento</w:t>
      </w:r>
    </w:p>
    <w:p>
      <w:r>
        <w:rPr>
          <w:sz w:val="20"/>
        </w:rPr>
        <w:t>Los autores argumentan que la falta de definición operacional ha limitado el uso práctico del concepto de capacidad de políticas públicas. Proponen que las tres competencias (analítica, operacional, política) son interconectadas pero separables e irreemplazables, aunque no todas se requieren igualmente para acciones particulares. El modelo anidado permite que recursos sistémicos afecten los organizacionales y viceversa. Los fracasos de política resultan de capacidades desbalanceadas en las nueve dimensiones, y el marco proporciona herramientas diagnósticas para identificar brechas específicas.</w:t>
      </w:r>
    </w:p>
    <w:p>
      <w:pPr>
        <w:pStyle w:val="Heading2"/>
      </w:pPr>
      <w:r>
        <w:rPr>
          <w:color w:val="1B4332"/>
        </w:rPr>
        <w:t>10 | Aportes principales</w:t>
      </w:r>
    </w:p>
    <w:p>
      <w:r>
        <w:rPr>
          <w:sz w:val="20"/>
        </w:rPr>
        <w:t>1. Primer marco conceptual integral que sintetiza todas las dimensiones de capacidad de políticas públicas identificadas en literatura previa</w:t>
        <w:br/>
        <w:t>2. Modelo operacionalizable de 9 componentes (matriz 3x3) que permite diagnosis práctica de brechas de capacidad</w:t>
        <w:br/>
        <w:t>3. Reconocimiento explícito de actores no-gubernamentales en la capacidad de políticas públicas</w:t>
        <w:br/>
        <w:t>4. Marco anidado que explica interacciones entre niveles individual, organizacional y sistémico</w:t>
        <w:br/>
        <w:t>5. Herramienta diagnóstica para identificar desequilibrios que causan fracasos de política</w:t>
        <w:br/>
        <w:t>6. Base conceptual para estrategias diferenciadas de desarrollo de capacidades</w:t>
      </w:r>
    </w:p>
    <w:p>
      <w:pPr>
        <w:pStyle w:val="Heading2"/>
      </w:pPr>
      <w:r>
        <w:rPr>
          <w:color w:val="1B4332"/>
        </w:rPr>
        <w:t>11 | Limitaciones</w:t>
      </w:r>
    </w:p>
    <w:p>
      <w:r>
        <w:rPr>
          <w:sz w:val="20"/>
        </w:rPr>
        <w:t>1. Reconocimiento de que el marco requiere desarrollo y expansión adicional através de casos empíricos</w:t>
        <w:br/>
        <w:t>2. Necesidad de mayor especificación sobre cómo medir cada componente de capacidad</w:t>
        <w:br/>
        <w:t>3. Falta de indicadores concretos para operacionalización práctica</w:t>
        <w:br/>
        <w:t>4. Limitada discusión sobre pesos relativos de diferentes componentes de capacidad</w:t>
      </w:r>
    </w:p>
    <w:p>
      <w:pPr>
        <w:pStyle w:val="Heading2"/>
      </w:pPr>
      <w:r>
        <w:rPr>
          <w:color w:val="1B4332"/>
        </w:rPr>
        <w:t>12 | Conexión con debates mayores</w:t>
      </w:r>
    </w:p>
    <w:p>
      <w:r>
        <w:rPr>
          <w:sz w:val="20"/>
        </w:rPr>
        <w:t>El artículo se conecta con debates sobre: **State capacity** al expandir conceptos tradicionales de capacidad estatal hacia capacidad de políticas específicas; **Governance capacity** versus policy capacity y sus diferencias conceptuales; **Evidence-based policymaking** al enfatizar capacidades analíticas; **New Public Management** al abordar capacidades gerenciales y organizacionales; **Gobernanza multinivel** al incluir actores no-gubernamentales y niveles sistémicos; y **Capacity building** al proporcionar marco diagnóstico para intervenciones.</w:t>
      </w:r>
    </w:p>
    <w:p>
      <w:pPr>
        <w:pStyle w:val="Heading2"/>
      </w:pPr>
      <w:r>
        <w:rPr>
          <w:color w:val="1B4332"/>
        </w:rPr>
        <w:t>13 | Observaciones críticas propias</w:t>
      </w:r>
    </w:p>
    <w:p>
      <w:r>
        <w:rPr>
          <w:sz w:val="20"/>
        </w:rPr>
        <w:t>El marco, aunque comprehensivo, presenta tensiones no resueltas sobre la ponderación relativa de los nueve componentes y su aplicabilidad differential según contextos de política. Los autores asumen que las tres competencias son "irreemplazables" sin problematizar posibles substituciones o compensaciones entre ellas. La inclusión de actores no-gubernamentales amplía útilmente el concepto pero genera ambigüedad sobre límites del concepto. El trabajo requiere extensión empírica para validar la utilidad práctica del marco propuesto.</w:t>
      </w:r>
    </w:p>
    <w:p>
      <w:pPr>
        <w:pStyle w:val="Heading2"/>
      </w:pPr>
      <w:r>
        <w:rPr>
          <w:color w:val="1B4332"/>
        </w:rPr>
        <w:t>6 | Tipo de investigación y metodología</w:t>
      </w:r>
    </w:p>
    <w:p>
      <w:r>
        <w:rPr>
          <w:b/>
          <w:sz w:val="20"/>
        </w:rPr>
        <w:t xml:space="preserve">Diseño: </w:t>
      </w:r>
      <w:r>
        <w:rPr>
          <w:sz w:val="20"/>
        </w:rPr>
        <w:t>Desarrollo de marco teórico-conceptual</w:t>
      </w:r>
    </w:p>
    <w:p>
      <w:r>
        <w:rPr>
          <w:b/>
          <w:sz w:val="20"/>
        </w:rPr>
        <w:t xml:space="preserve">Universo: </w:t>
      </w:r>
      <w:r>
        <w:rPr>
          <w:sz w:val="20"/>
        </w:rPr>
        <w:t>Literatura académica sobre capacidad de políticas públicas</w:t>
      </w:r>
    </w:p>
    <w:p>
      <w:r>
        <w:rPr>
          <w:b/>
          <w:sz w:val="20"/>
        </w:rPr>
        <w:t xml:space="preserve">Muestra: </w:t>
      </w:r>
      <w:r>
        <w:rPr>
          <w:sz w:val="20"/>
        </w:rPr>
        <w:t>Revisión selectiva de literatura especializada</w:t>
      </w:r>
    </w:p>
    <w:p>
      <w:r>
        <w:rPr>
          <w:b/>
          <w:sz w:val="20"/>
        </w:rPr>
        <w:t xml:space="preserve">Instrumentos: </w:t>
      </w:r>
      <w:r>
        <w:rPr>
          <w:sz w:val="20"/>
        </w:rPr>
        <w:t>Análisis conceptual y síntesis teórica</w:t>
      </w:r>
    </w:p>
    <w:p>
      <w:r>
        <w:rPr>
          <w:b/>
          <w:sz w:val="20"/>
        </w:rPr>
        <w:t xml:space="preserve">Variable dependiente: </w:t>
      </w:r>
      <w:r>
        <w:rPr>
          <w:sz w:val="20"/>
        </w:rPr>
        <w:t>Capacidad de políticas públicas (conceptualización multidimensional)</w:t>
      </w:r>
    </w:p>
    <w:p>
      <w:r>
        <w:rPr>
          <w:b/>
          <w:sz w:val="20"/>
        </w:rPr>
        <w:t xml:space="preserve">Variables independientes: </w:t>
      </w:r>
      <w:r>
        <w:rPr>
          <w:sz w:val="20"/>
        </w:rPr>
        <w:t>No aplica (es trabajo conceptual)</w:t>
      </w:r>
    </w:p>
    <w:p>
      <w:r>
        <w:rPr>
          <w:b/>
          <w:sz w:val="20"/>
        </w:rPr>
        <w:t xml:space="preserve">Análisis: </w:t>
      </w:r>
      <w:r>
        <w:rPr>
          <w:sz w:val="20"/>
        </w:rPr>
        <w:t>Análisis conceptual comparativo y síntesis teórica</w:t>
      </w:r>
    </w:p>
    <w:p>
      <w:r>
        <w:rPr>
          <w:b/>
          <w:sz w:val="20"/>
        </w:rPr>
        <w:t xml:space="preserve">País/Nivel de gobierno: </w:t>
      </w:r>
      <w:r>
        <w:rPr>
          <w:sz w:val="20"/>
        </w:rPr>
        <w:t>Marco teórico general aplicable a múltiples contextos</w:t>
      </w:r>
    </w:p>
    <w:p>
      <w:pPr>
        <w:pStyle w:val="Heading2"/>
      </w:pPr>
      <w:r>
        <w:rPr>
          <w:color w:val="1B4332"/>
        </w:rPr>
        <w:t>9 | Evidencia empírica / estadística</w:t>
      </w:r>
    </w:p>
    <w:p>
      <w:r>
        <w:rPr>
          <w:sz w:val="20"/>
        </w:rPr>
        <w:t>El artículo presenta evidencia conceptual através de: síntesis de definiciones existentes en la literatura; demostración de inconsistencias y limitaciones de enfoques previos; ilustración de la crisis financiera global de 2008 como ejemplo de déficits de capacidad; presentación de matriz 3x3 como herramienta organizativa; y referencia a artículos del número especial que operacionalizan cada celda del marco.</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Wu, Ramesh y Howlett presentan el primer marco conceptual integral para capacidad de políticas públicas, organizando competencias analíticas, operacionales y políticas en niveles individual, organizacional y sistémico. Su argumento central sostiene que los fracasos de política resultan de atención desbalanceada a estos nueve componentes, y que su marco proporciona herramientas diagnósticas para identificar brechas específicas. El trabajo representa un avance significativo en la conceptualización de policy capacity al ofrecer un modelo operacionalizable que sintetiza décadas de literatura fragmentada. Su relevancia radica en proporcionar fundamentos teóricos sólidos para análisis empírico y diseño de intervenciones de desarrollo de capacidades. La matriz 3x3 se convierte en herramienta analítica fundamental para diagnosticar debilidades gubernamentales y diseñar estrategias diferenciadas de fortalecimiento institucional. El marco trasciende enfoques previos limitados al incluir explícitamente dimensiones políticas y actores no-gubernamentales, estableciendo nueva agenda de investigación en capacidad de políticas públicas.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Propone conocimiento sobre procesos de política, habilidades de análisis y evaluación como</w:t>
            </w:r>
          </w:p>
        </w:tc>
        <w:tc>
          <w:tcPr>
            <w:tcW w:type="dxa" w:w="2351"/>
            <w:shd w:val="clear" w:color="auto" w:fill="C8E6C9"/>
          </w:tcPr>
          <w:p>
            <w:r>
              <w:rPr>
                <w:b/>
                <w:color w:val="2E7D32"/>
                <w:sz w:val="16"/>
              </w:rPr>
              <w:t xml:space="preserve">[2] </w:t>
            </w:r>
            <w:r>
              <w:rPr>
                <w:sz w:val="14"/>
              </w:rPr>
              <w:t>Define experticia gerencial y capacidad de gestión como competencias operacionales individ</w:t>
            </w:r>
          </w:p>
        </w:tc>
        <w:tc>
          <w:tcPr>
            <w:tcW w:type="dxa" w:w="2351"/>
            <w:shd w:val="clear" w:color="auto" w:fill="C8E6C9"/>
          </w:tcPr>
          <w:p>
            <w:r>
              <w:rPr>
                <w:b/>
                <w:color w:val="2E7D32"/>
                <w:sz w:val="16"/>
              </w:rPr>
              <w:t xml:space="preserve">[2] </w:t>
            </w:r>
            <w:r>
              <w:rPr>
                <w:sz w:val="14"/>
              </w:rPr>
              <w:t>Conceptualiza juicio político individual y competencias políticas de profesionales de polí</w:t>
            </w:r>
          </w:p>
        </w:tc>
      </w:tr>
      <w:tr>
        <w:tc>
          <w:tcPr>
            <w:tcW w:type="dxa" w:w="2351"/>
            <w:shd w:val="clear" w:color="auto" w:fill="D8F3DC"/>
          </w:tcPr>
          <w:p>
            <w:r>
              <w:rPr>
                <w:b/>
                <w:sz w:val="16"/>
              </w:rPr>
              <w:t>ORGANIZACIONAL</w:t>
            </w:r>
          </w:p>
        </w:tc>
        <w:tc>
          <w:tcPr>
            <w:tcW w:type="dxa" w:w="2351"/>
            <w:shd w:val="clear" w:color="auto" w:fill="C8E6C9"/>
          </w:tcPr>
          <w:p>
            <w:r>
              <w:rPr>
                <w:b/>
                <w:color w:val="2E7D32"/>
                <w:sz w:val="16"/>
              </w:rPr>
              <w:t xml:space="preserve">[2] </w:t>
            </w:r>
            <w:r>
              <w:rPr>
                <w:sz w:val="14"/>
              </w:rPr>
              <w:t>Desarrolla infraestructura de información, sistemas de gestión de recursos humanos y capac</w:t>
            </w:r>
          </w:p>
        </w:tc>
        <w:tc>
          <w:tcPr>
            <w:tcW w:type="dxa" w:w="2351"/>
            <w:shd w:val="clear" w:color="auto" w:fill="2E7D32"/>
          </w:tcPr>
          <w:p>
            <w:r>
              <w:rPr>
                <w:b/>
                <w:color w:val="FFFFFF"/>
                <w:sz w:val="16"/>
              </w:rPr>
              <w:t xml:space="preserve">[3] </w:t>
            </w:r>
            <w:r>
              <w:rPr>
                <w:sz w:val="14"/>
              </w:rPr>
              <w:t xml:space="preserve">Desarrolla exhaustivamente sistemas de gestión de recursos, coordinación organizacional y </w:t>
            </w:r>
          </w:p>
        </w:tc>
        <w:tc>
          <w:tcPr>
            <w:tcW w:type="dxa" w:w="2351"/>
            <w:shd w:val="clear" w:color="auto" w:fill="C8E6C9"/>
          </w:tcPr>
          <w:p>
            <w:r>
              <w:rPr>
                <w:b/>
                <w:color w:val="2E7D32"/>
                <w:sz w:val="16"/>
              </w:rPr>
              <w:t xml:space="preserve">[2] </w:t>
            </w:r>
            <w:r>
              <w:rPr>
                <w:sz w:val="14"/>
              </w:rPr>
              <w:t>Desarrolla apoyo político organizacional, legitimidad institucional y capacidades política</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Conceptualiza recursos sistémicos disponibles para análisis y revisión de políticas a nive</w:t>
            </w:r>
          </w:p>
        </w:tc>
        <w:tc>
          <w:tcPr>
            <w:tcW w:type="dxa" w:w="2351"/>
            <w:shd w:val="clear" w:color="auto" w:fill="C8E6C9"/>
          </w:tcPr>
          <w:p>
            <w:r>
              <w:rPr>
                <w:b/>
                <w:color w:val="2E7D32"/>
                <w:sz w:val="16"/>
              </w:rPr>
              <w:t xml:space="preserve">[2] </w:t>
            </w:r>
            <w:r>
              <w:rPr>
                <w:sz w:val="14"/>
              </w:rPr>
              <w:t>Establece marco conceptual para recursos sistémicos que permiten implementación efectiva d</w:t>
            </w:r>
          </w:p>
        </w:tc>
        <w:tc>
          <w:tcPr>
            <w:tcW w:type="dxa" w:w="2351"/>
            <w:shd w:val="clear" w:color="auto" w:fill="2E7D32"/>
          </w:tcPr>
          <w:p>
            <w:r>
              <w:rPr>
                <w:b/>
                <w:color w:val="FFFFFF"/>
                <w:sz w:val="16"/>
              </w:rPr>
              <w:t xml:space="preserve">[3] </w:t>
            </w:r>
            <w:r>
              <w:rPr>
                <w:sz w:val="14"/>
              </w:rPr>
              <w:t>Operacionaliza confianza pública, apoyo social, legitimidad sistémica como componentes med</w:t>
            </w:r>
          </w:p>
        </w:tc>
      </w:tr>
    </w:tbl>
    <w:p/>
    <w:p>
      <w:r>
        <w:rPr>
          <w:sz w:val="18"/>
        </w:rPr>
        <w:t>AI: 2 | Propone conocimiento sobre procesos de política, habilidades de análisis y evaluación como competencias analíticas individuales</w:t>
        <w:br/>
        <w:t>AO: 2 | Desarrolla infraestructura de información, sistemas de gestión de recursos humanos y capacidades organizacionales analíticas</w:t>
        <w:br/>
        <w:t>AS: 2 | Conceptualiza recursos sistémicos disponibles para análisis y revisión de políticas a nivel macro</w:t>
        <w:br/>
        <w:t>OI: 2 | Define experticia gerencial y capacidad de gestión como competencias operacionales individuales clave</w:t>
        <w:br/>
        <w:t>OO: 3 | Desarrolla exhaustivamente sistemas de gestión de recursos, coordinación organizacional y capacidad operativa institucional</w:t>
        <w:br/>
        <w:t>OS: 2 | Establece marco conceptual para recursos sistémicos que permiten implementación efectiva de políticas</w:t>
        <w:br/>
        <w:t>PI: 2 | Conceptualiza juicio político individual y competencias políticas de profesionales de política pública</w:t>
        <w:br/>
        <w:t>PO: 2 | Desarrolla apoyo político organizacional, legitimidad institucional y capacidades políticas de agencias</w:t>
        <w:br/>
        <w:t>PS: 3 | Operacionaliza confianza pública, apoyo social, legitimidad sistémica como componentes medibles de capacidad política sistémica</w:t>
        <w:br/>
        <w:br/>
        <w:t>CELDAS_PRINCIPALES: OO, PS, AO</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No aplica — artículo conceptual/diagnóstico</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RECURSOS SISTÉMICOS → apoyo y legitimidad → CAPACIDAD ORGANIZACIONAL (OO) → sin condición moderadora explícita</w:t>
              <w:br/>
              <w:t>COMPETENCIAS INDIVIDUALES → desempeño de funciones → CAPACIDAD DE POLÍTICA (transversal) → moderado por recursos organizacionales</w:t>
              <w:br/>
              <w:t>APOYO POLÍTICO → legitimidad institucional → CAPACIDAD POLÍTICA SISTÉMICA (PS) → condicionado por confianza social</w:t>
              <w:br/>
              <w:t>INFRAESTRUCTURA ORGANIZACIONAL → efectividad individual → CAPACIDAD ANALÍTICA-OPERATIVA → sin moderadores identificados</w:t>
            </w:r>
          </w:p>
        </w:tc>
      </w:tr>
    </w:tbl>
    <w:p/>
    <w:p>
      <w:pPr>
        <w:pStyle w:val="Heading2"/>
      </w:pPr>
      <w:r>
        <w:rPr>
          <w:color w:val="1B4332"/>
        </w:rPr>
        <w:t>VI | Condiciones estructurales (facilitadoras/inhibidoras)</w:t>
      </w:r>
    </w:p>
    <w:p>
      <w:r>
        <w:rPr>
          <w:sz w:val="20"/>
        </w:rPr>
        <w:t>FACILITADORES:</w:t>
        <w:br/>
        <w:t>- Confianza y apoyo social: Permite acceso a recursos y legitimidad para operación efectiva de agencias</w:t>
        <w:br/>
        <w:t>- Recursos financieros y de personal: Determinantes críticos de capacidades organizacionales según el marco</w:t>
        <w:br/>
        <w:t>- Apoyo político desde arriba y abajo: Vital para legitimidad y acceso continuo a recursos institucionales</w:t>
        <w:br/>
        <w:br/>
        <w:t>INHIBIDORES:</w:t>
        <w:br/>
        <w:t>- Restricciones organizacionales excesivas: Pueden minar responsabilidad individual y moral de profesionales</w:t>
        <w:br/>
        <w:t>- Falta de infraestructura informacional: Limita capacidades analíticas organizacionales e individuales</w:t>
        <w:br/>
        <w:t>- Ausencia de legitimidad: Reduce acceso a recursos y apoyo necesarios para función efectiva</w:t>
      </w:r>
    </w:p>
    <w:p>
      <w:pPr>
        <w:pStyle w:val="Heading2"/>
      </w:pPr>
      <w:r>
        <w:rPr>
          <w:color w:val="1B4332"/>
        </w:rPr>
        <w:t>VII | Comparabilidad contextual con Rionegro</w:t>
      </w:r>
    </w:p>
    <w:p>
      <w:r>
        <w:rPr>
          <w:b/>
          <w:sz w:val="20"/>
        </w:rPr>
        <w:t xml:space="preserve">País: </w:t>
      </w:r>
      <w:r>
        <w:rPr>
          <w:sz w:val="20"/>
        </w:rPr>
        <w:t>Marco teórico general (no específico de país)</w:t>
      </w:r>
    </w:p>
    <w:p>
      <w:r>
        <w:rPr>
          <w:b/>
          <w:sz w:val="20"/>
        </w:rPr>
        <w:t xml:space="preserve">Nivel de gobierno: </w:t>
      </w:r>
      <w:r>
        <w:rPr>
          <w:sz w:val="20"/>
        </w:rPr>
        <w:t>Transversal - aplicable a todos los niveles</w:t>
      </w:r>
    </w:p>
    <w:p>
      <w:r>
        <w:rPr>
          <w:b/>
          <w:sz w:val="20"/>
        </w:rPr>
        <w:t xml:space="preserve">Tamaño del gobierno: </w:t>
      </w:r>
      <w:r>
        <w:rPr>
          <w:sz w:val="20"/>
        </w:rPr>
        <w:t>No especifica</w:t>
      </w:r>
    </w:p>
    <w:p>
      <w:r>
        <w:rPr>
          <w:b/>
          <w:sz w:val="20"/>
        </w:rPr>
        <w:t xml:space="preserve">Ingreso/Categoría fiscal: </w:t>
      </w:r>
      <w:r>
        <w:rPr>
          <w:sz w:val="20"/>
        </w:rPr>
        <w:t>No aplica</w:t>
      </w:r>
    </w:p>
    <w:p>
      <w:r>
        <w:rPr>
          <w:b/>
          <w:sz w:val="20"/>
        </w:rPr>
        <w:t xml:space="preserve">Tipo de régimen burocrático: </w:t>
      </w:r>
      <w:r>
        <w:rPr>
          <w:sz w:val="20"/>
        </w:rPr>
        <w:t>Marco universal - incluye actores no gubernamentales</w:t>
      </w:r>
    </w:p>
    <w:p>
      <w:r>
        <w:rPr>
          <w:b/>
          <w:sz w:val="20"/>
        </w:rPr>
        <w:t xml:space="preserve">Sector de política: </w:t>
      </w:r>
      <w:r>
        <w:rPr>
          <w:sz w:val="20"/>
        </w:rPr>
        <w:t>Transversal - todos los sectores</w:t>
      </w:r>
    </w:p>
    <w:p>
      <w:r>
        <w:rPr>
          <w:b/>
          <w:sz w:val="20"/>
        </w:rPr>
        <w:t xml:space="preserve">Comparabilidad con Rionegro: </w:t>
      </w:r>
      <w:r>
        <w:rPr>
          <w:sz w:val="20"/>
        </w:rPr>
        <w:t>Alta</w:t>
      </w:r>
    </w:p>
    <w:p>
      <w:r>
        <w:rPr>
          <w:b/>
          <w:sz w:val="20"/>
        </w:rPr>
        <w:t xml:space="preserve">Justificación: </w:t>
      </w:r>
      <w:r>
        <w:rPr>
          <w:sz w:val="20"/>
        </w:rPr>
        <w:t>Marco conceptual fundamental que proporciona la base teórica para operacionalizar medición de capacidades en cualquier contexto gubernamental</w:t>
      </w:r>
    </w:p>
    <w:p>
      <w:pPr>
        <w:pStyle w:val="Heading2"/>
      </w:pPr>
      <w:r>
        <w:rPr>
          <w:color w:val="1B4332"/>
        </w:rPr>
        <w:t>VIII | Conexión con las 4 preguntas empíricas</w:t>
      </w:r>
    </w:p>
    <w:p>
      <w:r>
        <w:rPr>
          <w:sz w:val="20"/>
        </w:rPr>
        <w:t>P1 — Anclaje duro → nivel organizacional: Marco teórico sugiere que recursos organizacionales son mediadores críticos entre individual y sistémico</w:t>
      </w:r>
      <w:r>
        <w:rPr>
          <w:b/>
          <w:color w:val="2E7D32"/>
          <w:sz w:val="20"/>
        </w:rPr>
        <w:t xml:space="preserve">  →  Soporta</w:t>
      </w:r>
    </w:p>
    <w:p>
      <w:r>
        <w:rPr>
          <w:sz w:val="20"/>
        </w:rPr>
        <w:t>P2 — Intervenciones blandas → individual/político: Enfatiza importancia de competencias individuales y legitimidad política</w:t>
      </w:r>
      <w:r>
        <w:rPr>
          <w:b/>
          <w:color w:val="2E7D32"/>
          <w:sz w:val="20"/>
        </w:rPr>
        <w:t xml:space="preserve">  →  Soporta</w:t>
      </w:r>
    </w:p>
    <w:p>
      <w:r>
        <w:rPr>
          <w:sz w:val="20"/>
        </w:rPr>
        <w:t>P3 — Inercia dimensional → restricciones estructurales: Modelo anidado implica que restricciones sistémicas condicionan capacidades organizacionales e individuales</w:t>
      </w:r>
      <w:r>
        <w:rPr>
          <w:b/>
          <w:color w:val="2E7D32"/>
          <w:sz w:val="20"/>
        </w:rPr>
        <w:t xml:space="preserve">  →  Soporta</w:t>
      </w:r>
    </w:p>
    <w:p>
      <w:r>
        <w:rPr>
          <w:sz w:val="20"/>
        </w:rPr>
        <w:t>P4 — Apropiación superficial vs. real: No aborda directamente mecanismos de apropiación o superficialidad</w:t>
      </w:r>
      <w:r>
        <w:rPr>
          <w:b/>
          <w:sz w:val="20"/>
        </w:rPr>
        <w:t xml:space="preserve">  →  No aplica</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capacity refers to the competencies and capabilities important to policy-making" (p. 167)"</w:t>
      </w:r>
    </w:p>
    <w:p>
      <w:pPr>
        <w:ind w:left="567" w:right="567"/>
      </w:pPr>
      <w:r>
        <w:rPr>
          <w:i/>
          <w:color w:val="444444"/>
          <w:sz w:val="19"/>
        </w:rPr>
        <w:t>""Skills or competences which comprise policy capacity can be categorized into three types: analytical, operational and political" (p. 167)"</w:t>
      </w:r>
    </w:p>
    <w:p>
      <w:pPr>
        <w:ind w:left="567" w:right="567"/>
      </w:pPr>
      <w:r>
        <w:rPr>
          <w:i/>
          <w:color w:val="444444"/>
          <w:sz w:val="19"/>
        </w:rPr>
        <w:t>""The nested logic of this model... allows for the possibility that there are often skills and resources shared across task environments" (p. 168)"</w:t>
      </w:r>
    </w:p>
    <w:p>
      <w:pPr>
        <w:ind w:left="567" w:right="567"/>
      </w:pPr>
      <w:r>
        <w:rPr>
          <w:i/>
          <w:color w:val="444444"/>
          <w:sz w:val="19"/>
        </w:rPr>
        <w:t>""System level resources affect organizational ones and vice versa, just as organizational and individual level resources interact" (p. 168)"</w:t>
      </w:r>
    </w:p>
    <w:p>
      <w:pPr>
        <w:pStyle w:val="Heading3"/>
      </w:pPr>
      <w:r>
        <w:rPr>
          <w:color w:val="0D47A1"/>
        </w:rPr>
        <w:t>Para Metodología</w:t>
      </w:r>
    </w:p>
    <w:p>
      <w:pPr>
        <w:ind w:left="567" w:right="567"/>
      </w:pPr>
      <w:r>
        <w:rPr>
          <w:i/>
          <w:color w:val="444444"/>
          <w:sz w:val="19"/>
        </w:rPr>
        <w:t>""This definition... allows for a superior operationalization of the concept and its translation into practice" (p. 167)"</w:t>
      </w:r>
    </w:p>
    <w:p>
      <w:pPr>
        <w:ind w:left="567" w:right="567"/>
      </w:pPr>
      <w:r>
        <w:rPr>
          <w:i/>
          <w:color w:val="444444"/>
          <w:sz w:val="19"/>
        </w:rPr>
        <w:t>""The conceptual framework... provides a diagnostic tool to identify such capacity gaps" (p. 165)"</w:t>
      </w:r>
    </w:p>
    <w:p>
      <w:pPr>
        <w:ind w:left="567" w:right="567"/>
      </w:pPr>
      <w:r>
        <w:rPr>
          <w:i/>
          <w:color w:val="444444"/>
          <w:sz w:val="19"/>
        </w:rPr>
        <w:t>""Policy capacity at such a level does not exist in a vacuum" (p. 168)"</w:t>
      </w:r>
    </w:p>
    <w:p>
      <w:pPr>
        <w:pStyle w:val="Heading3"/>
      </w:pPr>
      <w:r>
        <w:rPr>
          <w:color w:val="BF360C"/>
        </w:rPr>
        <w:t>Para Discusión</w:t>
      </w:r>
    </w:p>
    <w:p>
      <w:pPr>
        <w:ind w:left="567" w:right="567"/>
      </w:pPr>
      <w:r>
        <w:rPr>
          <w:i/>
          <w:color w:val="444444"/>
          <w:sz w:val="19"/>
        </w:rPr>
        <w:t>""Policy failures often result from imbalanced attention to these nine different components of policy capacity" (p. 165)"</w:t>
      </w:r>
    </w:p>
    <w:p>
      <w:pPr>
        <w:ind w:left="567" w:right="567"/>
      </w:pPr>
      <w:r>
        <w:rPr>
          <w:i/>
          <w:color w:val="444444"/>
          <w:sz w:val="19"/>
        </w:rPr>
        <w:t>""High levels of individual policy capacity may not guarantee policy effectiveness because various other resources are required" (p. 168)"</w:t>
      </w:r>
    </w:p>
    <w:p>
      <w:pPr>
        <w:ind w:left="567" w:right="567"/>
      </w:pPr>
      <w:r>
        <w:rPr>
          <w:i/>
          <w:color w:val="444444"/>
          <w:sz w:val="19"/>
        </w:rPr>
        <w:t>""Organizations that unduly circumscribe individual decision making responsibility... can undermine an agency's ability to acquit its functions" (p. 168)"</w:t>
      </w:r>
    </w:p>
    <w:p>
      <w:pPr>
        <w:pStyle w:val="Heading2"/>
      </w:pPr>
      <w:r>
        <w:rPr>
          <w:color w:val="1B4332"/>
        </w:rPr>
        <w:t>X | Vacíos estratégicos</w:t>
      </w:r>
    </w:p>
    <w:p>
      <w:r>
        <w:rPr>
          <w:sz w:val="20"/>
        </w:rPr>
        <w:t>1. No proporciona indicadores operacionales concretos para medir las nueve dimensiones</w:t>
        <w:br/>
        <w:t>2. Ausencia de evidencia empírica sobre efectividad relativa de intervenciones por dimensión</w:t>
        <w:br/>
        <w:t>3. No aborda específicamente contextos de alta dependencia de contratistas</w:t>
        <w:br/>
        <w:t>4. Falta análisis de interacciones dinámicas entre las nueve celdas</w:t>
        <w:br/>
        <w:t>5. No considera factores temporales o de sostenibilidad de capacidades</w:t>
        <w:br/>
        <w:t>6. Ausencia de métricas para evaluar "apropiación superficial" vs. desarrollo real de capacidades</w:t>
      </w:r>
    </w:p>
    <w:p>
      <w:pPr>
        <w:pStyle w:val="Heading2"/>
      </w:pPr>
      <w:r>
        <w:rPr>
          <w:color w:val="1B4332"/>
        </w:rPr>
        <w:t>XI | Evaluación final estratégica</w:t>
      </w:r>
    </w:p>
    <w:p>
      <w:r>
        <w:rPr>
          <w:b/>
          <w:color w:val="1B5E20"/>
          <w:sz w:val="22"/>
        </w:rPr>
        <w:t>● CLASIFICACIÓN: FUNDAMENTAL</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constituye la base teórica fundamental del Policy Capacities Framework que estructura toda la investigación de Rionegro. Proporciona la matriz conceptual 3x3 que permite operacionalizar el concepto multidimensional de capacidad de política pública. Su principal aporte radica en sintetizar décadas de literatura fragmentada sobre capacidades estatales en un marco coherente y diagnóstico. Para el caso Rionegro, ofrece el lenguaje conceptual y la arquitectura analítica necesarios para mapear intervenciones específicas contra dimensiones precisas de capacidad. El modelo anidado que propone es especialmente relevante para entender cómo las restricciones sistémicas (alta dependencia de contratistas) condicionan las capacidades organizacionales e individuales en el municipio. Aunque no proporciona indicadores empíricos, establece los fundamentos teóricos indispensables para desarrollar instrumentos de medición adaptados al contexto local de baja institucionalización burocrática.</w:t>
            </w:r>
          </w:p>
        </w:tc>
      </w:tr>
    </w:tbl>
    <w:p/>
    <w:p>
      <w:pPr>
        <w:jc w:val="right"/>
      </w:pPr>
      <w:r>
        <w:rPr>
          <w:i/>
          <w:color w:val="999999"/>
          <w:sz w:val="16"/>
        </w:rPr>
        <w:t>Ficha generada automáticamente · 13/04/2026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