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28"/>
        </w:rPr>
        <w:t>FICHA DE LECTURA — CAPACIDADES DE POLÍTICA PÚBLICA</w:t>
      </w:r>
    </w:p>
    <w:p>
      <w:pPr>
        <w:jc w:val="center"/>
      </w:pPr>
      <w:r>
        <w:rPr>
          <w:i/>
          <w:color w:val="666666"/>
          <w:sz w:val="20"/>
        </w:rPr>
        <w:t>Proyecto: Medición de capacidades — Municipio de Rionegro, Antioquia</w:t>
      </w:r>
    </w:p>
    <w:p>
      <w:pPr>
        <w:jc w:val="center"/>
      </w:pPr>
      <w:r>
        <w:rPr>
          <w:i/>
          <w:sz w:val="22"/>
        </w:rPr>
        <w:t>Capano, G., &amp; Elias de Oliveira, V. (2025). Do Policy Capacities Matter for Federal Policy Design? Evidence From the Implementation of Three Social Policies in Brazil. Public Administration and Development.</w:t>
      </w:r>
    </w:p>
    <w:p>
      <w:pPr>
        <w:jc w:val="center"/>
      </w:pPr>
      <w:r>
        <w:rPr>
          <w:b/>
          <w:color w:val="E65100"/>
          <w:sz w:val="22"/>
        </w:rPr>
        <w:t>● IMPORTANTE ● Puntaje matriz: 17/27</w:t>
      </w:r>
    </w:p>
    <w:p/>
    <w:p>
      <w:pPr>
        <w:pStyle w:val="Heading1"/>
      </w:pPr>
      <w:r>
        <w:rPr>
          <w:color w:val="1B4332"/>
        </w:rPr>
        <w:t>PARTE I — FICHA GENÉRICA DEL ARTÍCULO</w:t>
      </w:r>
    </w:p>
    <w:p>
      <w:pPr>
        <w:pStyle w:val="Heading2"/>
      </w:pPr>
      <w:r>
        <w:rPr>
          <w:color w:val="1B4332"/>
        </w:rPr>
        <w:t>1 | Referencia bibliográfica (APA 7)</w:t>
      </w:r>
    </w:p>
    <w:p>
      <w:r>
        <w:rPr>
          <w:sz w:val="20"/>
        </w:rPr>
        <w:t>Capano, G., &amp; Elias de Oliveira, V. (2025). Do Policy Capacities Matter for Federal Policy Design? Evidence From the Implementation of Three Social Policies in Brazil. Public Administration and Development.</w:t>
      </w:r>
    </w:p>
    <w:p>
      <w:pPr>
        <w:pStyle w:val="Heading2"/>
      </w:pPr>
      <w:r>
        <w:rPr>
          <w:color w:val="1B4332"/>
        </w:rPr>
        <w:t>2 | Objetivo explícito del autor</w:t>
      </w:r>
    </w:p>
    <w:p>
      <w:r>
        <w:rPr>
          <w:sz w:val="20"/>
        </w:rPr>
        <w:t>El estudio examina cómo las capacidades de política federal pueden diseñar políticas efectivas en sistemas multinivel cuando la implementación depende de gobiernos locales con capacidades heterogéneas. Analiza la interconexión entre capacidad de política federal, diseño de políticas e implementación efectiva en Brasil.</w:t>
      </w:r>
    </w:p>
    <w:p>
      <w:pPr>
        <w:ind w:left="567" w:right="567"/>
      </w:pPr>
      <w:r>
        <w:rPr>
          <w:i/>
          <w:color w:val="444444"/>
          <w:sz w:val="19"/>
        </w:rPr>
        <w:t>""this study aims to fill this gap by focusing on federal policies in Brazil""</w:t>
      </w:r>
    </w:p>
    <w:p>
      <w:pPr>
        <w:pStyle w:val="Heading2"/>
      </w:pPr>
      <w:r>
        <w:rPr>
          <w:color w:val="1B4332"/>
        </w:rPr>
        <w:t>3 | Pregunta de investigación</w:t>
      </w:r>
    </w:p>
    <w:p>
      <w:pPr>
        <w:ind w:left="567" w:right="567"/>
      </w:pPr>
      <w:r>
        <w:rPr>
          <w:i/>
          <w:color w:val="444444"/>
          <w:sz w:val="19"/>
        </w:rPr>
        <w:t>"¿Cómo puede el gobierno federal perseguir políticas efectivas cuando la capacidad de política a nivel local para realizar diferentes tareas políticas varía sustancialmente? (página de introducción)"</w:t>
      </w:r>
    </w:p>
    <w:p>
      <w:pPr>
        <w:pStyle w:val="Heading2"/>
      </w:pPr>
      <w:r>
        <w:rPr>
          <w:color w:val="1B4332"/>
        </w:rPr>
        <w:t>4 | Tesis central</w:t>
      </w:r>
    </w:p>
    <w:p>
      <w:r>
        <w:rPr>
          <w:sz w:val="20"/>
        </w:rPr>
        <w:t>La efectividad del diseño de políticas federales depende de la adecuación de las capacidades de política federal y local. Para que el diseño de políticas sea efectivo, la capacidad de política federal debe ser capaz de adaptar el diseño a las capacidades locales existentes o diseñar políticas que activen la mejora de la capacidad de política local. La implementación efectiva de políticas federales depende de si las características del diseño federal dialogan con las capacidades locales existentes y proporcionan su fortalecimiento.</w:t>
      </w:r>
    </w:p>
    <w:p>
      <w:pPr>
        <w:ind w:left="567" w:right="567"/>
      </w:pPr>
      <w:r>
        <w:rPr>
          <w:i/>
          <w:color w:val="444444"/>
          <w:sz w:val="19"/>
        </w:rPr>
        <w:t>""federal policy capacity is assumed to be able to tailor policy design to existing local policy capacity""</w:t>
      </w:r>
    </w:p>
    <w:p>
      <w:pPr>
        <w:pStyle w:val="Heading2"/>
      </w:pPr>
      <w:r>
        <w:rPr>
          <w:color w:val="1B4332"/>
        </w:rPr>
        <w:t>5 | Marco teórico utilizado</w:t>
      </w:r>
    </w:p>
    <w:p>
      <w:r>
        <w:rPr>
          <w:sz w:val="20"/>
        </w:rPr>
        <w:t>1. Policy Capacity Framework de Wu, Howlett y Ramesh (2018) - Marco central que considera capacidades analíticas, operacionales y políticas en niveles individual, organizacional y sistémico</w:t>
        <w:br/>
        <w:t>2. Literatura sobre diseño de políticas (policy design) - Enfoque en la selección de instrumentos apropiados para procesos coherentes de implementación</w:t>
        <w:br/>
        <w:t>3. Teoría de sistemas multinivel - Análisis de la complejidad de las relaciones intergubernamentales y gestión de políticas públicas subnacionales</w:t>
        <w:br/>
        <w:t>4. Literatura sobre federalismo cooperativo - Marcos de coordinación, cooperación y coerción entre niveles de gobierno</w:t>
      </w:r>
    </w:p>
    <w:p>
      <w:pPr>
        <w:pStyle w:val="Heading2"/>
      </w:pPr>
      <w:r>
        <w:rPr>
          <w:color w:val="1B4332"/>
        </w:rPr>
        <w:t>7 | Conceptos clave</w:t>
      </w:r>
    </w:p>
    <w:p>
      <w:r>
        <w:rPr>
          <w:sz w:val="20"/>
        </w:rPr>
        <w:t>1. **Capacidades de política**: "El conjunto de habilidades y recursos—o competencias y capacidades—necesarias para realizar funciones de política" (p. 3)</w:t>
        <w:br/>
        <w:t>2. **Capacidad analítica**: Habilidades en análisis de políticas, evaluación y uso de herramientas analíticas a nivel individual, organizacional y sistémico</w:t>
        <w:br/>
        <w:t>3. **Capacidad operacional**: Competencias en gestión de recursos humanos, presupuesto, gestión de proyectos y coordinación intergubernamental</w:t>
        <w:br/>
        <w:t>4. **Capacidad política**: Conocimiento del proceso de políticas, legitimidad política y habilidades de comunicación y negociación</w:t>
        <w:br/>
        <w:t>5. **Diseño de políticas**: Actividad compleja y no neutral limitada por dimensiones políticas y técnicas para seleccionar instrumentos apropiados</w:t>
        <w:br/>
        <w:t>6. **Federalismo cooperativo**: Sistema donde los tres niveles de gobierno deben colaborar en políticas públicas con poderes administrativos "en común"</w:t>
      </w:r>
    </w:p>
    <w:p>
      <w:pPr>
        <w:pStyle w:val="Heading2"/>
      </w:pPr>
      <w:r>
        <w:rPr>
          <w:color w:val="1B4332"/>
        </w:rPr>
        <w:t>8 | Reconstrucción analítica del argumento</w:t>
      </w:r>
    </w:p>
    <w:p>
      <w:r>
        <w:rPr>
          <w:sz w:val="20"/>
        </w:rPr>
        <w:t>Los autores hipotetizan que la efectividad del diseño de políticas federales depende de la adecuación entre capacidades federales y locales. Los resultados muestran que las políticas exitosas (Bolsa Família y Estrategia de Salud Familiar) lograron alinear instrumentos de política con las capacidades locales o activaron procesos de fortalecimiento de capacidades. El mecanismo causal opera a través del diálogo entre características del diseño federal y capacidades locales existentes. Como hallazgo no esperado, identifican que el desarrollo de capacidades locales puede ocurrir durante el proceso de implementación.</w:t>
      </w:r>
    </w:p>
    <w:p>
      <w:pPr>
        <w:pStyle w:val="Heading2"/>
      </w:pPr>
      <w:r>
        <w:rPr>
          <w:color w:val="1B4332"/>
        </w:rPr>
        <w:t>10 | Aportes principales</w:t>
      </w:r>
    </w:p>
    <w:p>
      <w:r>
        <w:rPr>
          <w:sz w:val="20"/>
        </w:rPr>
        <w:t>1. Aplicación del Policy Capacity Framework a sistemas federales para analizar efectividad de políticas multinivel</w:t>
        <w:br/>
        <w:t>2. Demostración empírica de la interconexión entre capacidad federal, diseño de políticas e implementación efectiva</w:t>
        <w:br/>
        <w:t>3. Identificación de mecanismos específicos através de los cuales las capacidades federales pueden activar mejoras en capacidades locales</w:t>
        <w:br/>
        <w:t>4. Marco analítico para entender por qué políticas federales implementadas localmente pueden fallar o tener éxito</w:t>
      </w:r>
    </w:p>
    <w:p>
      <w:pPr>
        <w:pStyle w:val="Heading2"/>
      </w:pPr>
      <w:r>
        <w:rPr>
          <w:color w:val="1B4332"/>
        </w:rPr>
        <w:t>11 | Limitaciones</w:t>
      </w:r>
    </w:p>
    <w:p>
      <w:r>
        <w:rPr>
          <w:sz w:val="20"/>
        </w:rPr>
        <w:t>1. Análisis limitado a tres casos en un solo país (Brasil)</w:t>
        <w:br/>
        <w:t>2. Falta de medición cuantitativa sistemática de las capacidades de política</w:t>
        <w:br/>
        <w:t>3. Necesidad de mayor desarrollo conceptual sobre los mecanismos específicos de activación de capacidades locales</w:t>
      </w:r>
    </w:p>
    <w:p>
      <w:pPr>
        <w:pStyle w:val="Heading2"/>
      </w:pPr>
      <w:r>
        <w:rPr>
          <w:color w:val="1B4332"/>
        </w:rPr>
        <w:t>12 | Conexión con debates mayores</w:t>
      </w:r>
    </w:p>
    <w:p>
      <w:r>
        <w:rPr>
          <w:sz w:val="20"/>
        </w:rPr>
        <w:t>El artículo se conecta con debates centrales sobre descentralización y efectividad de políticas, contribuyendo a la literatura sobre state capacity al enfocarse en capacidades específicas de política. Se relaciona con discusiones sobre capacity building en sistemas federales y gobernanza multinivel, particularmente en el contexto de federalismo cooperativo. Dialoga con literatura sobre coordinación intergubernamental y implementación de políticas en contextos descentralizados.</w:t>
      </w:r>
    </w:p>
    <w:p>
      <w:pPr>
        <w:pStyle w:val="Heading2"/>
      </w:pPr>
      <w:r>
        <w:rPr>
          <w:color w:val="1B4332"/>
        </w:rPr>
        <w:t>13 | Observaciones críticas propias</w:t>
      </w:r>
    </w:p>
    <w:p>
      <w:r>
        <w:rPr>
          <w:sz w:val="20"/>
        </w:rPr>
        <w:t>El estudio presenta tensiones no completamente resueltas entre autonomía subnacional y objetivos federales de equalización. Los autores no problematizan suficientemente los supuestos sobre la neutralidad del fortalecimiento de capacidades ni las implicaciones democráticas de la coordinación federal. Sería valioso extender el análisis a otros contextos federales y desarrollar mediciones más sistemáticas de las nueve dimensiones del Policy Capacity Framework.</w:t>
      </w:r>
    </w:p>
    <w:p>
      <w:pPr>
        <w:pStyle w:val="Heading2"/>
      </w:pPr>
      <w:r>
        <w:rPr>
          <w:color w:val="1B4332"/>
        </w:rPr>
        <w:t>6 | Tipo de investigación y metodología</w:t>
      </w:r>
    </w:p>
    <w:p>
      <w:r>
        <w:rPr>
          <w:b/>
          <w:sz w:val="20"/>
        </w:rPr>
        <w:t xml:space="preserve">Diseño: </w:t>
      </w:r>
      <w:r>
        <w:rPr>
          <w:sz w:val="20"/>
        </w:rPr>
        <w:t>Estudio de casos críticos comparativo</w:t>
      </w:r>
    </w:p>
    <w:p>
      <w:r>
        <w:rPr>
          <w:b/>
          <w:sz w:val="20"/>
        </w:rPr>
        <w:t xml:space="preserve">Universo: </w:t>
      </w:r>
      <w:r>
        <w:rPr>
          <w:sz w:val="20"/>
        </w:rPr>
        <w:t>Políticas sociales federales implementadas localmente en Brasil</w:t>
      </w:r>
    </w:p>
    <w:p>
      <w:r>
        <w:rPr>
          <w:b/>
          <w:sz w:val="20"/>
        </w:rPr>
        <w:t xml:space="preserve">Muestra: </w:t>
      </w:r>
      <w:r>
        <w:rPr>
          <w:sz w:val="20"/>
        </w:rPr>
        <w:t>3 políticas sociales (2 exitosas: Programa Bolsa Família y Estrategia de Salud Familiar; 1 de baja efectividad: Programa Proinfância)</w:t>
      </w:r>
    </w:p>
    <w:p>
      <w:r>
        <w:rPr>
          <w:b/>
          <w:sz w:val="20"/>
        </w:rPr>
        <w:t xml:space="preserve">Instrumentos: </w:t>
      </w:r>
      <w:r>
        <w:rPr>
          <w:sz w:val="20"/>
        </w:rPr>
        <w:t>Análisis documental y revisión de literatura</w:t>
      </w:r>
    </w:p>
    <w:p>
      <w:r>
        <w:rPr>
          <w:b/>
          <w:sz w:val="20"/>
        </w:rPr>
        <w:t xml:space="preserve">Variable dependiente: </w:t>
      </w:r>
      <w:r>
        <w:rPr>
          <w:sz w:val="20"/>
        </w:rPr>
        <w:t>Efectividad de la implementación de políticas federales</w:t>
      </w:r>
    </w:p>
    <w:p>
      <w:r>
        <w:rPr>
          <w:b/>
          <w:sz w:val="20"/>
        </w:rPr>
        <w:t xml:space="preserve">Variables independientes: </w:t>
      </w:r>
      <w:r>
        <w:rPr>
          <w:sz w:val="20"/>
        </w:rPr>
        <w:t>Capacidades de política federal y local (analíticas, operacionales, políticas)</w:t>
      </w:r>
    </w:p>
    <w:p>
      <w:r>
        <w:rPr>
          <w:b/>
          <w:sz w:val="20"/>
        </w:rPr>
        <w:t xml:space="preserve">Análisis: </w:t>
      </w:r>
      <w:r>
        <w:rPr>
          <w:sz w:val="20"/>
        </w:rPr>
        <w:t>Análisis cualitativo comparativo</w:t>
      </w:r>
    </w:p>
    <w:p>
      <w:r>
        <w:rPr>
          <w:b/>
          <w:sz w:val="20"/>
        </w:rPr>
        <w:t xml:space="preserve">País/Nivel de gobierno: </w:t>
      </w:r>
      <w:r>
        <w:rPr>
          <w:sz w:val="20"/>
        </w:rPr>
        <w:t>Brasil - sistema federal de tres niveles (federal, estatal, municipal)</w:t>
      </w:r>
    </w:p>
    <w:p>
      <w:pPr>
        <w:pStyle w:val="Heading2"/>
      </w:pPr>
      <w:r>
        <w:rPr>
          <w:color w:val="1B4332"/>
        </w:rPr>
        <w:t>9 | Evidencia empírica / estadística</w:t>
      </w:r>
    </w:p>
    <w:p>
      <w:r>
        <w:rPr>
          <w:sz w:val="20"/>
        </w:rPr>
        <w:t>El análisis de los tres casos críticos confirma que considerar la capacidad de política federal como conductor clave de la efectividad en sistemas multinivel es una perspectiva analítica prometedora. Las dos políticas exitosas (Programa Bolsa Família presente en 5570 municipios y Estrategia de Salud Familiar en 99.2% de municipios) demuestran alineación efectiva entre diseño federal y capacidades locales. El Programa Proinfância evidencia baja efectividad por desalineación entre diseño federal y capacidades locales.</w:t>
      </w:r>
    </w:p>
    <w:p>
      <w:pPr>
        <w:pStyle w:val="Heading2"/>
      </w:pPr>
      <w:r>
        <w:rPr>
          <w:color w:val="1B4332"/>
        </w:rPr>
        <w:t>14 | Conclusión analítica sintética</w:t>
      </w:r>
    </w:p>
    <w:tbl>
      <w:tblPr>
        <w:tblStyle w:val="TableGrid"/>
        <w:tblW w:type="auto" w:w="0"/>
        <w:tblLook w:firstColumn="1" w:firstRow="1" w:lastColumn="0" w:lastRow="0" w:noHBand="0" w:noVBand="1" w:val="04A0"/>
      </w:tblPr>
      <w:tblGrid>
        <w:gridCol w:w="9406"/>
      </w:tblGrid>
      <w:tr>
        <w:tc>
          <w:tcPr>
            <w:tcW w:type="dxa" w:w="9406"/>
            <w:shd w:val="clear" w:color="auto" w:fill="E8F5E9"/>
          </w:tcPr>
          <w:p/>
          <w:p>
            <w:r>
              <w:rPr>
                <w:sz w:val="19"/>
              </w:rPr>
              <w:t>Este artículo representa una contribución significativa al entendimiento de la efectividad de políticas en sistemas federales al demostrar empíricamente que las capacidades de política federal importan crucialmente para el diseño efectivo de políticas implementadas localmente. A través del análisis de tres políticas sociales brasileñas, los autores confirman que la alineación entre diseño federal y capacidades locales, o la activación de procesos de fortalecimiento de capacidades, determina el éxito de la implementación. El trabajo ofrece un marco analítico prometedor que combina literatura sobre diseño de políticas, capacidades de política y sistemas multinivel, sugiriendo líneas futuras de investigación en federalismo cooperativo. La aplicación del Policy Capacity Framework a contextos multinivel representa un avance teórico-metodológico relevante para la administración pública comparada. El estudio contribuye particularmente a debates sobre descentralización efectiva y coordinación intergubernamental en países en desarrollo.</w:t>
            </w:r>
          </w:p>
        </w:tc>
      </w:tr>
    </w:tbl>
    <w:p/>
    <w:p>
      <w:r>
        <w:br w:type="page"/>
      </w:r>
    </w:p>
    <w:p>
      <w:pPr>
        <w:pStyle w:val="Heading1"/>
      </w:pPr>
      <w:r>
        <w:rPr>
          <w:color w:val="1B4332"/>
        </w:rPr>
        <w:t>PARTE II — FICHA AJUSTADA AL PROYECTO DE CAPACIDADES</w:t>
      </w:r>
    </w:p>
    <w:p>
      <w:r>
        <w:rPr>
          <w:i/>
          <w:sz w:val="20"/>
        </w:rPr>
        <w:t>Matriz de Wu et al. (2015/2018) aplicada a Rionegro, Antioquia</w:t>
      </w:r>
    </w:p>
    <w:p>
      <w:pPr>
        <w:pStyle w:val="Heading2"/>
      </w:pPr>
      <w:r>
        <w:rPr>
          <w:color w:val="1B4332"/>
        </w:rPr>
        <w:t>I | Mapeo a la Matriz de Capacidades (9 celdas)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4332"/>
          </w:tcPr>
          <w:p>
            <w:r>
              <w:rPr>
                <w:b/>
                <w:color w:val="FFFFFF"/>
                <w:sz w:val="16"/>
              </w:rPr>
              <w:t>Nivel \ Competencia</w:t>
            </w:r>
          </w:p>
        </w:tc>
        <w:tc>
          <w:tcPr>
            <w:tcW w:type="dxa" w:w="2351"/>
            <w:shd w:val="clear" w:color="auto" w:fill="1B4332"/>
          </w:tcPr>
          <w:p>
            <w:r>
              <w:rPr>
                <w:b/>
                <w:color w:val="FFFFFF"/>
                <w:sz w:val="16"/>
              </w:rPr>
              <w:t>ANALÍTICA</w:t>
            </w:r>
          </w:p>
        </w:tc>
        <w:tc>
          <w:tcPr>
            <w:tcW w:type="dxa" w:w="2351"/>
            <w:shd w:val="clear" w:color="auto" w:fill="1B4332"/>
          </w:tcPr>
          <w:p>
            <w:r>
              <w:rPr>
                <w:b/>
                <w:color w:val="FFFFFF"/>
                <w:sz w:val="16"/>
              </w:rPr>
              <w:t>OPERATIVA</w:t>
            </w:r>
          </w:p>
        </w:tc>
        <w:tc>
          <w:tcPr>
            <w:tcW w:type="dxa" w:w="2351"/>
            <w:shd w:val="clear" w:color="auto" w:fill="1B4332"/>
          </w:tcPr>
          <w:p>
            <w:r>
              <w:rPr>
                <w:b/>
                <w:color w:val="FFFFFF"/>
                <w:sz w:val="16"/>
              </w:rPr>
              <w:t>POLÍTICA</w:t>
            </w:r>
          </w:p>
        </w:tc>
      </w:tr>
      <w:tr>
        <w:tc>
          <w:tcPr>
            <w:tcW w:type="dxa" w:w="2351"/>
            <w:shd w:val="clear" w:color="auto" w:fill="D8F3DC"/>
          </w:tcPr>
          <w:p>
            <w:r>
              <w:rPr>
                <w:b/>
                <w:sz w:val="16"/>
              </w:rPr>
              <w:t>INDIVIDUAL</w:t>
            </w:r>
          </w:p>
        </w:tc>
        <w:tc>
          <w:tcPr>
            <w:tcW w:type="dxa" w:w="2351"/>
            <w:shd w:val="clear" w:color="auto" w:fill="FFF9C4"/>
          </w:tcPr>
          <w:p>
            <w:r>
              <w:rPr>
                <w:b/>
                <w:color w:val="F57F17"/>
                <w:sz w:val="16"/>
              </w:rPr>
              <w:t xml:space="preserve">[1] </w:t>
            </w:r>
            <w:r>
              <w:rPr>
                <w:sz w:val="14"/>
              </w:rPr>
              <w:t>Menciona la necesidad de habilidades técnicas federales para diseñar políticas pero no des</w:t>
            </w:r>
          </w:p>
        </w:tc>
        <w:tc>
          <w:tcPr>
            <w:tcW w:type="dxa" w:w="2351"/>
            <w:shd w:val="clear" w:color="auto" w:fill="FFF9C4"/>
          </w:tcPr>
          <w:p>
            <w:r>
              <w:rPr>
                <w:b/>
                <w:color w:val="F57F17"/>
                <w:sz w:val="16"/>
              </w:rPr>
              <w:t xml:space="preserve">[1] </w:t>
            </w:r>
            <w:r>
              <w:rPr>
                <w:sz w:val="14"/>
              </w:rPr>
              <w:t>Refiere habilidades de gestión de recursos humanos y financiera pero no profundiza en nive</w:t>
            </w:r>
          </w:p>
        </w:tc>
        <w:tc>
          <w:tcPr>
            <w:tcW w:type="dxa" w:w="2351"/>
            <w:shd w:val="clear" w:color="auto" w:fill="FFF9C4"/>
          </w:tcPr>
          <w:p>
            <w:r>
              <w:rPr>
                <w:b/>
                <w:color w:val="F57F17"/>
                <w:sz w:val="16"/>
              </w:rPr>
              <w:t xml:space="preserve">[1] </w:t>
            </w:r>
            <w:r>
              <w:rPr>
                <w:sz w:val="14"/>
              </w:rPr>
              <w:t>Menciona tangencialmente habilidades de comunicación y negociación política pero no desarr</w:t>
            </w:r>
          </w:p>
        </w:tc>
      </w:tr>
      <w:tr>
        <w:tc>
          <w:tcPr>
            <w:tcW w:type="dxa" w:w="2351"/>
            <w:shd w:val="clear" w:color="auto" w:fill="D8F3DC"/>
          </w:tcPr>
          <w:p>
            <w:r>
              <w:rPr>
                <w:b/>
                <w:sz w:val="16"/>
              </w:rPr>
              <w:t>ORGANIZACIONAL</w:t>
            </w:r>
          </w:p>
        </w:tc>
        <w:tc>
          <w:tcPr>
            <w:tcW w:type="dxa" w:w="2351"/>
            <w:shd w:val="clear" w:color="auto" w:fill="C8E6C9"/>
          </w:tcPr>
          <w:p>
            <w:r>
              <w:rPr>
                <w:b/>
                <w:color w:val="2E7D32"/>
                <w:sz w:val="16"/>
              </w:rPr>
              <w:t xml:space="preserve">[2] </w:t>
            </w:r>
            <w:r>
              <w:rPr>
                <w:sz w:val="14"/>
              </w:rPr>
              <w:t>Desarrolla concepto de "machinery data collection and analysis" y cultura organizacional b</w:t>
            </w:r>
          </w:p>
        </w:tc>
        <w:tc>
          <w:tcPr>
            <w:tcW w:type="dxa" w:w="2351"/>
            <w:shd w:val="clear" w:color="auto" w:fill="2E7D32"/>
          </w:tcPr>
          <w:p>
            <w:r>
              <w:rPr>
                <w:b/>
                <w:color w:val="FFFFFF"/>
                <w:sz w:val="16"/>
              </w:rPr>
              <w:t xml:space="preserve">[3] </w:t>
            </w:r>
            <w:r>
              <w:rPr>
                <w:sz w:val="14"/>
              </w:rPr>
              <w:t>Analiza empíricamente coordinación interna federal, sistemas de gestión y autonomía/contro</w:t>
            </w:r>
          </w:p>
        </w:tc>
        <w:tc>
          <w:tcPr>
            <w:tcW w:type="dxa" w:w="2351"/>
            <w:shd w:val="clear" w:color="auto" w:fill="C8E6C9"/>
          </w:tcPr>
          <w:p>
            <w:r>
              <w:rPr>
                <w:b/>
                <w:color w:val="2E7D32"/>
                <w:sz w:val="16"/>
              </w:rPr>
              <w:t xml:space="preserve">[2] </w:t>
            </w:r>
            <w:r>
              <w:rPr>
                <w:sz w:val="14"/>
              </w:rPr>
              <w:t>Desarrolla conceptos de acceso a tomadores de decisión y efectividad en participación de s</w:t>
            </w:r>
          </w:p>
        </w:tc>
      </w:tr>
      <w:tr>
        <w:tc>
          <w:tcPr>
            <w:tcW w:type="dxa" w:w="2351"/>
            <w:shd w:val="clear" w:color="auto" w:fill="D8F3DC"/>
          </w:tcPr>
          <w:p>
            <w:r>
              <w:rPr>
                <w:b/>
                <w:sz w:val="16"/>
              </w:rPr>
              <w:t>SISTÉMICO</w:t>
            </w:r>
          </w:p>
        </w:tc>
        <w:tc>
          <w:tcPr>
            <w:tcW w:type="dxa" w:w="2351"/>
            <w:shd w:val="clear" w:color="auto" w:fill="C8E6C9"/>
          </w:tcPr>
          <w:p>
            <w:r>
              <w:rPr>
                <w:b/>
                <w:color w:val="2E7D32"/>
                <w:sz w:val="16"/>
              </w:rPr>
              <w:t xml:space="preserve">[2] </w:t>
            </w:r>
            <w:r>
              <w:rPr>
                <w:sz w:val="14"/>
              </w:rPr>
              <w:t>Propone sistemas de datos compartidos intergubernamentales y servicios de asesoramiento co</w:t>
            </w:r>
          </w:p>
        </w:tc>
        <w:tc>
          <w:tcPr>
            <w:tcW w:type="dxa" w:w="2351"/>
            <w:shd w:val="clear" w:color="auto" w:fill="2E7D32"/>
          </w:tcPr>
          <w:p>
            <w:r>
              <w:rPr>
                <w:b/>
                <w:color w:val="FFFFFF"/>
                <w:sz w:val="16"/>
              </w:rPr>
              <w:t xml:space="preserve">[3] </w:t>
            </w:r>
            <w:r>
              <w:rPr>
                <w:sz w:val="14"/>
              </w:rPr>
              <w:t>Presenta evidencia sobre coordinación intergubernamental, claridad de roles y marcos legal</w:t>
            </w:r>
          </w:p>
        </w:tc>
        <w:tc>
          <w:tcPr>
            <w:tcW w:type="dxa" w:w="2351"/>
            <w:shd w:val="clear" w:color="auto" w:fill="C8E6C9"/>
          </w:tcPr>
          <w:p>
            <w:r>
              <w:rPr>
                <w:b/>
                <w:color w:val="2E7D32"/>
                <w:sz w:val="16"/>
              </w:rPr>
              <w:t xml:space="preserve">[2] </w:t>
            </w:r>
            <w:r>
              <w:rPr>
                <w:sz w:val="14"/>
              </w:rPr>
              <w:t>Analiza confianza pública, rendición de cuentas y participación de actores no estatales en</w:t>
            </w:r>
          </w:p>
        </w:tc>
      </w:tr>
    </w:tbl>
    <w:p/>
    <w:p>
      <w:r>
        <w:rPr>
          <w:sz w:val="18"/>
        </w:rPr>
        <w:t>AI: 1 | Menciona la necesidad de habilidades técnicas federales para diseñar políticas pero no desarrolla dimensión individual</w:t>
        <w:br/>
        <w:t xml:space="preserve">AO: 2 | Desarrolla concepto de "machinery data collection and analysis" y cultura organizacional basada en evidencia a nivel federal  </w:t>
        <w:br/>
        <w:t>AS: 2 | Propone sistemas de datos compartidos intergubernamentales y servicios de asesoramiento como elementos sistémicos</w:t>
        <w:br/>
        <w:t>OI: 1 | Refiere habilidades de gestión de recursos humanos y financiera pero no profundiza en nivel individual</w:t>
        <w:br/>
        <w:t>OO: 3 | Analiza empíricamente coordinación interna federal, sistemas de gestión y autonomía/control organizacional</w:t>
        <w:br/>
        <w:t>OS: 3 | Presenta evidencia sobre coordinación intergubernamental, claridad de roles y marcos legales en casos brasileños</w:t>
        <w:br/>
        <w:t>PI: 1 | Menciona tangencialmente habilidades de comunicación y negociación política pero no desarrolla</w:t>
        <w:br/>
        <w:t>PO: 2 | Desarrolla conceptos de acceso a tomadores de decisión y efectividad en participación de stakeholders</w:t>
        <w:br/>
        <w:t>PS: 2 | Analiza confianza pública, rendición de cuentas y participación de actores no estatales en casos empíricos</w:t>
        <w:br/>
        <w:br/>
        <w:t>CELDAS_PRINCIPALES: OO, OS, AO</w:t>
      </w:r>
    </w:p>
    <w:p>
      <w:pPr>
        <w:pStyle w:val="Heading2"/>
      </w:pPr>
      <w:r>
        <w:rPr>
          <w:color w:val="1B4332"/>
        </w:rPr>
        <w:t>II | Indicadores operacionalizables extraídos</w:t>
      </w:r>
    </w:p>
    <w:tbl>
      <w:tblPr>
        <w:tblStyle w:val="TableGrid"/>
        <w:tblW w:type="auto" w:w="0"/>
        <w:tblLook w:firstColumn="1" w:firstRow="1" w:lastColumn="0" w:lastRow="0" w:noHBand="0" w:noVBand="1" w:val="04A0"/>
      </w:tblPr>
      <w:tblGrid>
        <w:gridCol w:w="9406"/>
      </w:tblGrid>
      <w:tr>
        <w:tc>
          <w:tcPr>
            <w:tcW w:type="dxa" w:w="9406"/>
            <w:shd w:val="clear" w:color="auto" w:fill="E3F2FD"/>
          </w:tcPr>
          <w:p/>
          <w:p>
            <w:r>
              <w:rPr>
                <w:b/>
                <w:color w:val="1B4332"/>
                <w:sz w:val="20"/>
              </w:rPr>
              <w:t>Indicadores para instrumento de medición</w:t>
            </w:r>
          </w:p>
          <w:p>
            <w:r>
              <w:rPr>
                <w:sz w:val="19"/>
              </w:rPr>
              <w:t>No propone indicadores operacionalizables. Artículo teórico/conceptual con análisis cualitativo de casos.</w:t>
            </w:r>
          </w:p>
        </w:tc>
      </w:tr>
    </w:tbl>
    <w:p/>
    <w:p>
      <w:pPr>
        <w:pStyle w:val="Heading2"/>
      </w:pPr>
      <w:r>
        <w:rPr>
          <w:color w:val="1B4332"/>
        </w:rPr>
        <w:t>III | Variables, escalas e ítems de encuesta</w:t>
      </w:r>
    </w:p>
    <w:tbl>
      <w:tblPr>
        <w:tblStyle w:val="TableGrid"/>
        <w:tblW w:type="auto" w:w="0"/>
        <w:tblLook w:firstColumn="1" w:firstRow="1" w:lastColumn="0" w:lastRow="0" w:noHBand="0" w:noVBand="1" w:val="04A0"/>
      </w:tblPr>
      <w:tblGrid>
        <w:gridCol w:w="9406"/>
      </w:tblGrid>
      <w:tr>
        <w:tc>
          <w:tcPr>
            <w:tcW w:type="dxa" w:w="9406"/>
            <w:shd w:val="clear" w:color="auto" w:fill="F3E5F5"/>
          </w:tcPr>
          <w:p/>
          <w:p>
            <w:r>
              <w:rPr>
                <w:b/>
                <w:color w:val="1B4332"/>
                <w:sz w:val="20"/>
              </w:rPr>
              <w:t>Ítems extraíbles para instrumento Rionegro</w:t>
            </w:r>
          </w:p>
          <w:p>
            <w:r>
              <w:rPr>
                <w:sz w:val="19"/>
              </w:rPr>
              <w:t>No aplica — artículo sin instrumento de medición tipo encuesta</w:t>
            </w:r>
          </w:p>
        </w:tc>
      </w:tr>
    </w:tbl>
    <w:p/>
    <w:p>
      <w:pPr>
        <w:pStyle w:val="Heading2"/>
      </w:pPr>
      <w:r>
        <w:rPr>
          <w:color w:val="1B4332"/>
        </w:rPr>
        <w:t>IV | Intervenciones de Capacity Building</w:t>
      </w:r>
    </w:p>
    <w:tbl>
      <w:tblPr>
        <w:tblStyle w:val="TableGrid"/>
        <w:tblW w:type="auto" w:w="0"/>
        <w:tblLook w:firstColumn="1" w:firstRow="1" w:lastColumn="0" w:lastRow="0" w:noHBand="0" w:noVBand="1" w:val="04A0"/>
      </w:tblPr>
      <w:tblGrid>
        <w:gridCol w:w="9406"/>
      </w:tblGrid>
      <w:tr>
        <w:tc>
          <w:tcPr>
            <w:tcW w:type="dxa" w:w="9406"/>
            <w:shd w:val="clear" w:color="auto" w:fill="FFF3E0"/>
          </w:tcPr>
          <w:p/>
          <w:p>
            <w:r>
              <w:rPr>
                <w:sz w:val="19"/>
              </w:rPr>
              <w:t xml:space="preserve">ANCLAJE DURO: </w:t>
              <w:br/>
              <w:t>- Sistemas estandarizados de transferencias condicionadas</w:t>
              <w:br/>
              <w:t>- Protocolos obligatorios de reportes y monitoreo</w:t>
              <w:br/>
              <w:t>- Marcos normativos que especifican roles y responsabilidades</w:t>
              <w:br/>
              <w:br/>
              <w:t>ANCLAJE BLANDO:</w:t>
              <w:br/>
              <w:t>- Capacitación técnica a funcionarios locales</w:t>
              <w:br/>
              <w:t>- Transferencia de conocimiento federal-local</w:t>
              <w:br/>
              <w:t>- Asistencia técnica y acompañamiento</w:t>
              <w:br/>
              <w:br/>
              <w:t>REFORMA ESTRUCTURAL:</w:t>
              <w:br/>
              <w:t>- Diseño de políticas que activan mejoras en capacidades locales</w:t>
              <w:br/>
              <w:t>- Sistemas de coordinación intergubernamental</w:t>
              <w:br/>
              <w:t>- Infraestructura de datos compartidos</w:t>
            </w:r>
          </w:p>
        </w:tc>
      </w:tr>
    </w:tbl>
    <w:p/>
    <w:p>
      <w:pPr>
        <w:pStyle w:val="Heading2"/>
      </w:pPr>
      <w:r>
        <w:rPr>
          <w:color w:val="1B4332"/>
        </w:rPr>
        <w:t>V | Cadena causal: Intervención → Capacidad</w:t>
      </w:r>
    </w:p>
    <w:tbl>
      <w:tblPr>
        <w:tblStyle w:val="TableGrid"/>
        <w:tblW w:type="auto" w:w="0"/>
        <w:tblLook w:firstColumn="1" w:firstRow="1" w:lastColumn="0" w:lastRow="0" w:noHBand="0" w:noVBand="1" w:val="04A0"/>
      </w:tblPr>
      <w:tblGrid>
        <w:gridCol w:w="9406"/>
      </w:tblGrid>
      <w:tr>
        <w:tc>
          <w:tcPr>
            <w:tcW w:type="dxa" w:w="9406"/>
            <w:shd w:val="clear" w:color="auto" w:fill="FCE4EC"/>
          </w:tcPr>
          <w:p/>
          <w:p>
            <w:r>
              <w:rPr>
                <w:b/>
                <w:color w:val="1B4332"/>
                <w:sz w:val="20"/>
              </w:rPr>
              <w:t>Intervención → Mecanismo → Celda → Moderador</w:t>
            </w:r>
          </w:p>
          <w:p>
            <w:r>
              <w:rPr>
                <w:sz w:val="19"/>
              </w:rPr>
              <w:t>Capacidad analítica federal → diseño adaptado a capacidades locales → efectividad implementación → sin moderadora explícita</w:t>
              <w:br/>
              <w:br/>
              <w:t>Capacidad operativa federal → instrumentos apropiados → coordinación intergubernamental → moderado por heterogeneidad local</w:t>
              <w:br/>
              <w:br/>
              <w:t>Transferencias condicionadas → incentivos locales → desarrollo capacidad local → moderado por capacidad inicial</w:t>
              <w:br/>
              <w:br/>
              <w:t>Asistencia técnica federal → aprendizaje local → mejora capacidad operativa → moderado por estabilidad institucional local</w:t>
            </w:r>
          </w:p>
        </w:tc>
      </w:tr>
    </w:tbl>
    <w:p/>
    <w:p>
      <w:pPr>
        <w:pStyle w:val="Heading2"/>
      </w:pPr>
      <w:r>
        <w:rPr>
          <w:color w:val="1B4332"/>
        </w:rPr>
        <w:t>VI | Condiciones estructurales (facilitadoras/inhibidoras)</w:t>
      </w:r>
    </w:p>
    <w:p>
      <w:r>
        <w:rPr>
          <w:sz w:val="20"/>
        </w:rPr>
        <w:t>FACILITADORES:</w:t>
        <w:br/>
        <w:t>- Heterogeneidad de capacidades locales: Permite análisis diferenciado de efectividad según contexto</w:t>
        <w:br/>
        <w:t>- Sistema federal cooperativo: Facilita coordinación y transferencia de capacidades</w:t>
        <w:br/>
        <w:t>- Políticas de transferencias: Crean incentivos para desarrollo de capacidades locales</w:t>
        <w:br/>
        <w:br/>
        <w:t>INHIBIDORES:</w:t>
        <w:br/>
        <w:t>- Disparidades socioeconómicas: Limitan capacidad de respuesta local uniforme</w:t>
        <w:br/>
        <w:t>- Autonomía subnacional: Puede generar resistencia a políticas federales</w:t>
        <w:br/>
        <w:t>- Variabilidad institucional local: Dificulta estandarización de implementación</w:t>
      </w:r>
    </w:p>
    <w:p>
      <w:pPr>
        <w:pStyle w:val="Heading2"/>
      </w:pPr>
      <w:r>
        <w:rPr>
          <w:color w:val="1B4332"/>
        </w:rPr>
        <w:t>VII | Comparabilidad contextual con Rionegro</w:t>
      </w:r>
    </w:p>
    <w:p>
      <w:r>
        <w:rPr>
          <w:b/>
          <w:sz w:val="20"/>
        </w:rPr>
        <w:t xml:space="preserve">País: </w:t>
      </w:r>
      <w:r>
        <w:rPr>
          <w:sz w:val="20"/>
        </w:rPr>
        <w:t>Brasil</w:t>
      </w:r>
    </w:p>
    <w:p>
      <w:r>
        <w:rPr>
          <w:b/>
          <w:sz w:val="20"/>
        </w:rPr>
        <w:t xml:space="preserve">Nivel de gobierno: </w:t>
      </w:r>
      <w:r>
        <w:rPr>
          <w:sz w:val="20"/>
        </w:rPr>
        <w:t>Sistema multinivel (federal-municipal)</w:t>
      </w:r>
    </w:p>
    <w:p>
      <w:r>
        <w:rPr>
          <w:b/>
          <w:sz w:val="20"/>
        </w:rPr>
        <w:t xml:space="preserve">Tamaño del gobierno: </w:t>
      </w:r>
      <w:r>
        <w:rPr>
          <w:sz w:val="20"/>
        </w:rPr>
        <w:t>Múltiple (municipios diversos)</w:t>
      </w:r>
    </w:p>
    <w:p>
      <w:r>
        <w:rPr>
          <w:b/>
          <w:sz w:val="20"/>
        </w:rPr>
        <w:t xml:space="preserve">Ingreso/Categoría fiscal: </w:t>
      </w:r>
      <w:r>
        <w:rPr>
          <w:sz w:val="20"/>
        </w:rPr>
        <w:t>Heterogéneo (alto a bajo)</w:t>
      </w:r>
    </w:p>
    <w:p>
      <w:r>
        <w:rPr>
          <w:b/>
          <w:sz w:val="20"/>
        </w:rPr>
        <w:t xml:space="preserve">Tipo de régimen burocrático: </w:t>
      </w:r>
      <w:r>
        <w:rPr>
          <w:sz w:val="20"/>
        </w:rPr>
        <w:t>Híbrido (weberiano federal, variable local)</w:t>
      </w:r>
    </w:p>
    <w:p>
      <w:r>
        <w:rPr>
          <w:b/>
          <w:sz w:val="20"/>
        </w:rPr>
        <w:t xml:space="preserve">Sector de política: </w:t>
      </w:r>
      <w:r>
        <w:rPr>
          <w:sz w:val="20"/>
        </w:rPr>
        <w:t>Social (Bolsa Família, Salud Familiar, Proinfância)</w:t>
      </w:r>
    </w:p>
    <w:p>
      <w:r>
        <w:rPr>
          <w:b/>
          <w:sz w:val="20"/>
        </w:rPr>
        <w:t xml:space="preserve">Comparabilidad con Rionegro: </w:t>
      </w:r>
      <w:r>
        <w:rPr>
          <w:sz w:val="20"/>
        </w:rPr>
        <w:t>Media</w:t>
      </w:r>
    </w:p>
    <w:p>
      <w:r>
        <w:rPr>
          <w:b/>
          <w:sz w:val="20"/>
        </w:rPr>
        <w:t xml:space="preserve">Justificación: </w:t>
      </w:r>
      <w:r>
        <w:rPr>
          <w:sz w:val="20"/>
        </w:rPr>
        <w:t>Similar sistema multinivel y dependencia federal, pero Brasil tiene mayor capacidad federal institucionalizada vs. contractor-dominated</w:t>
      </w:r>
    </w:p>
    <w:p>
      <w:pPr>
        <w:pStyle w:val="Heading2"/>
      </w:pPr>
      <w:r>
        <w:rPr>
          <w:color w:val="1B4332"/>
        </w:rPr>
        <w:t>VIII | Conexión con las 4 preguntas empíricas</w:t>
      </w:r>
    </w:p>
    <w:p>
      <w:r>
        <w:rPr>
          <w:sz w:val="20"/>
        </w:rPr>
        <w:t>P1 — Anclaje duro → nivel organizacional: Transferencias condicionadas generan sistemas organizacionales de monitoreo y control</w:t>
      </w:r>
      <w:r>
        <w:rPr>
          <w:b/>
          <w:color w:val="2E7D32"/>
          <w:sz w:val="20"/>
        </w:rPr>
        <w:t xml:space="preserve">  →  Soporta</w:t>
      </w:r>
    </w:p>
    <w:p>
      <w:r>
        <w:rPr>
          <w:sz w:val="20"/>
        </w:rPr>
        <w:t>P2 — Intervenciones blandas → individual/político: Asistencia técnica mejora capacidades individuales pero requiere continuidad</w:t>
      </w:r>
      <w:r>
        <w:rPr>
          <w:b/>
          <w:color w:val="1565C0"/>
          <w:sz w:val="20"/>
        </w:rPr>
        <w:t xml:space="preserve">  →  Extiende</w:t>
      </w:r>
    </w:p>
    <w:p>
      <w:r>
        <w:rPr>
          <w:sz w:val="20"/>
        </w:rPr>
        <w:t>P3 — Inercia dimensional → restricciones estructurales: Disparidades socioeconómicas limitan efectividad independiente de intervención</w:t>
      </w:r>
      <w:r>
        <w:rPr>
          <w:b/>
          <w:color w:val="2E7D32"/>
          <w:sz w:val="20"/>
        </w:rPr>
        <w:t xml:space="preserve">  →  Soporta</w:t>
      </w:r>
    </w:p>
    <w:p>
      <w:r>
        <w:rPr>
          <w:sz w:val="20"/>
        </w:rPr>
        <w:t>P4 — Apropiación superficial vs. real: No aborda explícitamente diferencia entre adopción formal y cambio real</w:t>
      </w:r>
      <w:r>
        <w:rPr>
          <w:b/>
          <w:sz w:val="20"/>
        </w:rPr>
        <w:t xml:space="preserve">  →  No aplica</w:t>
      </w:r>
    </w:p>
    <w:p>
      <w:pPr>
        <w:pStyle w:val="Heading2"/>
      </w:pPr>
      <w:r>
        <w:rPr>
          <w:color w:val="1B4332"/>
        </w:rPr>
        <w:t>IX | Citas estratégicas categorizadas</w:t>
      </w:r>
    </w:p>
    <w:p>
      <w:pPr>
        <w:pStyle w:val="Heading3"/>
      </w:pPr>
      <w:r>
        <w:rPr>
          <w:color w:val="4A148C"/>
        </w:rPr>
        <w:t>Para Marco Teórico</w:t>
      </w:r>
    </w:p>
    <w:p>
      <w:pPr>
        <w:ind w:left="567" w:right="567"/>
      </w:pPr>
      <w:r>
        <w:rPr>
          <w:i/>
          <w:color w:val="444444"/>
          <w:sz w:val="19"/>
        </w:rPr>
        <w:t>""Policy capacities are the set of skills and resources necessary to perform policy functions" (p. 3)"</w:t>
      </w:r>
    </w:p>
    <w:p>
      <w:pPr>
        <w:ind w:left="567" w:right="567"/>
      </w:pPr>
      <w:r>
        <w:rPr>
          <w:i/>
          <w:color w:val="444444"/>
          <w:sz w:val="19"/>
        </w:rPr>
        <w:t>""Federal policy capacity must tailor design to existing local capacity or activate improvement" (p. 2)"</w:t>
      </w:r>
    </w:p>
    <w:p>
      <w:pPr>
        <w:ind w:left="567" w:right="567"/>
      </w:pPr>
      <w:r>
        <w:rPr>
          <w:i/>
          <w:color w:val="444444"/>
          <w:sz w:val="19"/>
        </w:rPr>
        <w:t>""Effectiveness depends on adequacy of federal and local policy capacity, ceteris paribus" (p. 4)"</w:t>
      </w:r>
    </w:p>
    <w:p>
      <w:pPr>
        <w:pStyle w:val="Heading3"/>
      </w:pPr>
      <w:r>
        <w:rPr>
          <w:color w:val="0D47A1"/>
        </w:rPr>
        <w:t>Para Metodología</w:t>
      </w:r>
    </w:p>
    <w:p>
      <w:pPr>
        <w:ind w:left="567" w:right="567"/>
      </w:pPr>
      <w:r>
        <w:rPr>
          <w:i/>
          <w:color w:val="444444"/>
          <w:sz w:val="19"/>
        </w:rPr>
        <w:t>""Critical case study design allows analytical consideration of different dimensions of government capacities" (p. 3)"</w:t>
      </w:r>
    </w:p>
    <w:p>
      <w:pPr>
        <w:ind w:left="567" w:right="567"/>
      </w:pPr>
      <w:r>
        <w:rPr>
          <w:i/>
          <w:color w:val="444444"/>
          <w:sz w:val="19"/>
        </w:rPr>
        <w:t>""Framework granularity enables fine-grained analysis avoiding conflated capacity dimensions" (p. 3)"</w:t>
      </w:r>
    </w:p>
    <w:p>
      <w:pPr>
        <w:pStyle w:val="Heading3"/>
      </w:pPr>
      <w:r>
        <w:rPr>
          <w:color w:val="BF360C"/>
        </w:rPr>
        <w:t>Para Discusión</w:t>
      </w:r>
    </w:p>
    <w:p>
      <w:pPr>
        <w:ind w:left="567" w:right="567"/>
      </w:pPr>
      <w:r>
        <w:rPr>
          <w:i/>
          <w:color w:val="444444"/>
          <w:sz w:val="19"/>
        </w:rPr>
        <w:t>""Federal governments share authority while subnational governments play key innovation role" (p. 4)"</w:t>
      </w:r>
    </w:p>
    <w:p>
      <w:pPr>
        <w:ind w:left="567" w:right="567"/>
      </w:pPr>
      <w:r>
        <w:rPr>
          <w:i/>
          <w:color w:val="444444"/>
          <w:sz w:val="19"/>
        </w:rPr>
        <w:t>""Implementation challenge reconciles subnational autonomy with federal equalization goals" (p. 4)"</w:t>
      </w:r>
    </w:p>
    <w:p>
      <w:pPr>
        <w:ind w:left="567" w:right="567"/>
      </w:pPr>
      <w:r>
        <w:rPr>
          <w:i/>
          <w:color w:val="444444"/>
          <w:sz w:val="19"/>
        </w:rPr>
        <w:t>""Local policy capacity is core element of federal policy design effectiveness" (p. 5)"</w:t>
      </w:r>
    </w:p>
    <w:p>
      <w:pPr>
        <w:pStyle w:val="Heading2"/>
      </w:pPr>
      <w:r>
        <w:rPr>
          <w:color w:val="1B4332"/>
        </w:rPr>
        <w:t>X | Vacíos estratégicos</w:t>
      </w:r>
    </w:p>
    <w:p>
      <w:r>
        <w:rPr>
          <w:sz w:val="20"/>
        </w:rPr>
        <w:t>1. No mide capacidades a nivel individual de funcionarios</w:t>
        <w:br/>
        <w:t>2. No considera impacto de alta dependencia de contratistas</w:t>
        <w:br/>
        <w:t>3. No analiza sostenibilidad temporal de mejoras en capacidad</w:t>
        <w:br/>
        <w:t>4. No diferencia entre capacidad formal vs. capacidad en uso</w:t>
        <w:br/>
        <w:t>5. No aborda mecanismos de apropiación organizacional profunda</w:t>
        <w:br/>
        <w:t>6. No considera variabilidad intra-organizacional de capacidades</w:t>
      </w:r>
    </w:p>
    <w:p>
      <w:pPr>
        <w:pStyle w:val="Heading2"/>
      </w:pPr>
      <w:r>
        <w:rPr>
          <w:color w:val="1B4332"/>
        </w:rPr>
        <w:t>XI | Evaluación final estratégica</w:t>
      </w:r>
    </w:p>
    <w:p>
      <w:r>
        <w:rPr>
          <w:b/>
          <w:color w:val="E65100"/>
          <w:sz w:val="22"/>
        </w:rPr>
        <w:t>● CLASIFICACIÓN: IMPORTANTE</w:t>
      </w:r>
    </w:p>
    <w:tbl>
      <w:tblPr>
        <w:tblStyle w:val="TableGrid"/>
        <w:tblW w:type="auto" w:w="0"/>
        <w:tblLook w:firstColumn="1" w:firstRow="1" w:lastColumn="0" w:lastRow="0" w:noHBand="0" w:noVBand="1" w:val="04A0"/>
      </w:tblPr>
      <w:tblGrid>
        <w:gridCol w:w="9406"/>
      </w:tblGrid>
      <w:tr>
        <w:tc>
          <w:tcPr>
            <w:tcW w:type="dxa" w:w="9406"/>
            <w:shd w:val="clear" w:color="auto" w:fill="FFF8E1"/>
          </w:tcPr>
          <w:p/>
          <w:p>
            <w:r>
              <w:rPr>
                <w:sz w:val="19"/>
              </w:rPr>
              <w:t>Este artículo aporta significativamente al proyecto de Rionegro al demostrar empíricamente cómo las capacidades federales pueden activar mejoras en capacidades locales a través del diseño de políticas. Su contribución principal está en las celdas organizacional y sistémica operativa (OO, OS), mostrando que la coordinación intergubernamental y los marcos institucionales son críticos para la efectividad. El marco conceptual sobre adecuación entre capacidades federales y locales es directamente aplicable al análisis de cómo las intervenciones en Rionegro deben considerar el contexto de alta dependencia de contratistas. Sin embargo, su enfoque macro-institucional complementa pero no sustituye la necesidad de medición granular a nivel individual y organizacional que requiere el caso de Rionegro. La evidencia sobre transferencias condicionadas como mecanismo de anclaje duro apoya la hipótesis P1 del proyecto.</w:t>
            </w:r>
          </w:p>
        </w:tc>
      </w:tr>
    </w:tbl>
    <w:p/>
    <w:p>
      <w:pPr>
        <w:jc w:val="right"/>
      </w:pPr>
      <w:r>
        <w:rPr>
          <w:i/>
          <w:color w:val="999999"/>
          <w:sz w:val="16"/>
        </w:rPr>
        <w:t>Ficha generada automáticamente · 09/04/2026 · Proyecto Capacidades Rionegro · PCF Wu et al. · v2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