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Brenton, S., Baekkeskov, E., &amp; Hannah, A. (2023). Policy capacity: evolving theory and missing links. Policy Studies, 44(3), 297-315. https://doi.org/10.1080/01442872.2022.2043266</w:t>
      </w:r>
    </w:p>
    <w:p>
      <w:pPr>
        <w:jc w:val="center"/>
      </w:pPr>
      <w:r>
        <w:rPr>
          <w:b/>
          <w:color w:val="1B5E20"/>
          <w:sz w:val="22"/>
        </w:rPr>
        <w:t>● FUNDAMENTAL ● Puntaje matriz: 18/27</w:t>
      </w:r>
    </w:p>
    <w:p/>
    <w:p>
      <w:pPr>
        <w:pStyle w:val="Heading1"/>
      </w:pPr>
      <w:r>
        <w:rPr>
          <w:color w:val="1B4332"/>
        </w:rPr>
        <w:t>PARTE I — FICHA GENÉRICA DEL ARTÍCULO</w:t>
      </w:r>
    </w:p>
    <w:p>
      <w:pPr>
        <w:pStyle w:val="Heading2"/>
      </w:pPr>
      <w:r>
        <w:rPr>
          <w:color w:val="1B4332"/>
        </w:rPr>
        <w:t>1 | Referencia bibliográfica (APA 7)</w:t>
      </w:r>
    </w:p>
    <w:p>
      <w:r>
        <w:rPr>
          <w:sz w:val="20"/>
        </w:rPr>
        <w:t>Brenton, S., Baekkeskov, E., &amp; Hannah, A. (2023). Policy capacity: evolving theory and missing links. Policy Studies, 44(3), 297-315. https://doi.org/10.1080/01442872.2022.2043266</w:t>
      </w:r>
    </w:p>
    <w:p>
      <w:pPr>
        <w:pStyle w:val="Heading2"/>
      </w:pPr>
      <w:r>
        <w:rPr>
          <w:color w:val="1B4332"/>
        </w:rPr>
        <w:t>2 | Objetivo explícito del autor</w:t>
      </w:r>
    </w:p>
    <w:p>
      <w:r>
        <w:rPr>
          <w:sz w:val="20"/>
        </w:rPr>
        <w:t>El estudio busca trazar la evolución de las comprensiones y aplicaciones de la capacidad de políticas a través de un meta-análisis de estudios en ciencias de políticas y administrativas. Los autores critican y desentrañan operacionalizaciones comunes para proponer un marco conceptual más completo que considere tanto la oferta como la demanda en los sistemas de gobernanza.</w:t>
      </w:r>
    </w:p>
    <w:p>
      <w:pPr>
        <w:ind w:left="567" w:right="567"/>
      </w:pPr>
      <w:r>
        <w:rPr>
          <w:i/>
          <w:color w:val="444444"/>
          <w:sz w:val="19"/>
        </w:rPr>
        <w:t>""We trace the evolution of understandings and applications of policy capacity through a meta-analysis" (p. 297)"</w:t>
      </w:r>
    </w:p>
    <w:p>
      <w:pPr>
        <w:pStyle w:val="Heading2"/>
      </w:pPr>
      <w:r>
        <w:rPr>
          <w:color w:val="1B4332"/>
        </w:rPr>
        <w:t>3 | Pregunta de investigación</w:t>
      </w:r>
    </w:p>
    <w:p>
      <w:pPr>
        <w:ind w:left="567" w:right="567"/>
      </w:pPr>
      <w:r>
        <w:rPr>
          <w:i/>
          <w:color w:val="444444"/>
          <w:sz w:val="19"/>
        </w:rPr>
        <w:t>"¿Cómo puede conceptualizarse la capacidad de políticas de manera más significativa considerando tanto las propiedades de oferta como las demandas societales sobre los gobiernos o sistemas de gobernanza?"</w:t>
      </w:r>
    </w:p>
    <w:p>
      <w:pPr>
        <w:pStyle w:val="Heading2"/>
      </w:pPr>
      <w:r>
        <w:rPr>
          <w:color w:val="1B4332"/>
        </w:rPr>
        <w:t>4 | Tesis central</w:t>
      </w:r>
    </w:p>
    <w:p>
      <w:r>
        <w:rPr>
          <w:sz w:val="20"/>
        </w:rPr>
        <w:t>Los autores argumentan que las investigaciones previas se han concentrado en dos propiedades clave de la "oferta" de respuestas de política: suficiencia y cambios en el tiempo y contextos. Proponen que debe considerarse más las demandas societales sobre los gobiernos y el (des)equilibrio entre generación de demanda y oferta. Utilizando la analogía de la batería, proponen tres dimensiones interconectadas de capacidad de políticas: capital administrativo, gestión política contingente, y satisfacción de expectativas.</w:t>
      </w:r>
    </w:p>
    <w:p>
      <w:pPr>
        <w:ind w:left="567" w:right="567"/>
      </w:pPr>
      <w:r>
        <w:rPr>
          <w:i/>
          <w:color w:val="444444"/>
          <w:sz w:val="19"/>
        </w:rPr>
        <w:t>""We propose three interconnected dimensions of policy capacity that better capture supply and demand" (p. 297)"</w:t>
      </w:r>
    </w:p>
    <w:p>
      <w:pPr>
        <w:pStyle w:val="Heading2"/>
      </w:pPr>
      <w:r>
        <w:rPr>
          <w:color w:val="1B4332"/>
        </w:rPr>
        <w:t>5 | Marco teórico utilizado</w:t>
      </w:r>
    </w:p>
    <w:p>
      <w:r>
        <w:rPr>
          <w:sz w:val="20"/>
        </w:rPr>
        <w:t>1. Teorías clásicas de capacidad gubernamental (Graham 1960, Deutsch 1966) - enfoque en estructuras racionales, autoridad y liderazgo</w:t>
        <w:br/>
        <w:t>2. Literatura de fallas de políticas (Williams 1971, Pressman y Wildavsky 1973) - correlación entre falta de capacidad y fallas</w:t>
        <w:br/>
        <w:t>3. Teoría del "vaciamiento del estado" (Rhodes 1994) - declive de capacidad central y inclusión de actores no estatales</w:t>
        <w:br/>
        <w:t>4. Enfoques de capacidad administrativa/organizacional (Hou et al. 2003, Howlett y Ramesh 2014) - habilidades de gestión, programación y evaluación</w:t>
        <w:br/>
        <w:t>5. Teorías de gobernanza en red (Dror 2001, Christensen et al. 2016) - nuevas habilidades para trabajar con redes de actores</w:t>
        <w:br/>
        <w:t>6. Marco de capacidad de políticas multinivel (Painter y Pierre 2005) - variación sectorial y temporal de capacidades</w:t>
      </w:r>
    </w:p>
    <w:p>
      <w:pPr>
        <w:pStyle w:val="Heading2"/>
      </w:pPr>
      <w:r>
        <w:rPr>
          <w:color w:val="1B4332"/>
        </w:rPr>
        <w:t>7 | Conceptos clave</w:t>
      </w:r>
    </w:p>
    <w:p>
      <w:r>
        <w:rPr>
          <w:sz w:val="20"/>
        </w:rPr>
        <w:t>1. **Capacidad de políticas** - "la habilidad de anticipar e influir el cambio; tomar decisiones informadas e inteligentes sobre políticas; desarrollar programas para implementar políticas" (Honadle 1981, p. 577-78)</w:t>
        <w:br/>
        <w:t>2. **Capital administrativo** - recursos relativamente fungibles incluyendo recursos humanos, organizacionales, financieros y físicos dentro del control estatal (p. 307)</w:t>
        <w:br/>
        <w:t>3. **Gestión política contingente** - funciones o competencias que pertenecen exclusiva o principalmente al estado para habilitar el throughput apropiado y efectivo (p. 308)</w:t>
        <w:br/>
        <w:t>4. **Satisfacción de expectativas** - dimensión que captura la relación entre oferta gubernamental y demandas/expectativas societales (p. 309)</w:t>
        <w:br/>
        <w:t>5. **Capacidad de gobernanza** - capacidad que incluye actores no estatales después del "vaciamiento del estado" (p. 298)</w:t>
        <w:br/>
        <w:t>6. **Capacidad administrativa** - habilidades de gestión, programación, monitoreo y evaluación del estado (p. 298)</w:t>
      </w:r>
    </w:p>
    <w:p>
      <w:pPr>
        <w:pStyle w:val="Heading2"/>
      </w:pPr>
      <w:r>
        <w:rPr>
          <w:color w:val="1B4332"/>
        </w:rPr>
        <w:t>8 | Reconstrucción analítica del argumento</w:t>
      </w:r>
    </w:p>
    <w:p>
      <w:r>
        <w:rPr>
          <w:sz w:val="20"/>
        </w:rPr>
        <w:t>Los autores desarrollan un argumento en tres etapas: primero, identifican que conceptualizaciones previas de capacidad de políticas sufren de tautología (políticas fallan por pobre capacidad, y sabemos que la capacidad era pobre porque las políticas fallaron). Segundo, argumentan que enfoques centrados solo en oferta son conceptualmente limitados, utilizando la analogía de la batería para mostrar que capacidad debe evaluarse en relación a demandas. Tercero, proponen tres dimensiones interconectadas que capturan mejor las cualidades y relacionalidad de oferta y demanda, donde el éxito es distribucional, temporal e incongruente con la innovación.</w:t>
      </w:r>
    </w:p>
    <w:p>
      <w:pPr>
        <w:pStyle w:val="Heading2"/>
      </w:pPr>
      <w:r>
        <w:rPr>
          <w:color w:val="1B4332"/>
        </w:rPr>
        <w:t>10 | Aportes principales</w:t>
      </w:r>
    </w:p>
    <w:p>
      <w:r>
        <w:rPr>
          <w:sz w:val="20"/>
        </w:rPr>
        <w:t>1. Desarrollo de marco conceptual tripartito que supera la tautología éxito/falla-capacidad</w:t>
        <w:br/>
        <w:t>2. Introducción sistemática de la dimensión de demanda en estudios de capacidad de políticas</w:t>
        <w:br/>
        <w:t>3. Propuesta de analogía de la batería para conceptualizar relación oferta-demanda</w:t>
        <w:br/>
        <w:t>4. Meta-análisis comprehensivo de seis décadas de literatura sobre capacidad de políticas</w:t>
        <w:br/>
        <w:t>5. Identificación de cuatro niveles analíticos de capacidad (programa, sectorial, intersectorial, sistémico)</w:t>
        <w:br/>
        <w:t>6. Reconceptualización de capacidad como independiente del éxito/falla de políticas específicas</w:t>
      </w:r>
    </w:p>
    <w:p>
      <w:pPr>
        <w:pStyle w:val="Heading2"/>
      </w:pPr>
      <w:r>
        <w:rPr>
          <w:color w:val="1B4332"/>
        </w:rPr>
        <w:t>11 | Limitaciones</w:t>
      </w:r>
    </w:p>
    <w:p>
      <w:r>
        <w:rPr>
          <w:sz w:val="20"/>
        </w:rPr>
        <w:t>1. El propósito no es cuantificar definitivamente cada tipo de capacidad sino entender capacidad general o de línea base</w:t>
        <w:br/>
        <w:t>2. La comprensión de la "química" subyacente de capacidad de políticas está lejos de ser comprehensiva</w:t>
        <w:br/>
        <w:t>3. Las medidas existentes de capacidad son medidas de factores que podrían contribuir a la capacidad, no medidas de capacidad directamente</w:t>
        <w:br/>
        <w:t>4. El marco propuesto requiere mayor desarrollo empírico y pruebas en casos específicos</w:t>
      </w:r>
    </w:p>
    <w:p>
      <w:pPr>
        <w:pStyle w:val="Heading2"/>
      </w:pPr>
      <w:r>
        <w:rPr>
          <w:color w:val="1B4332"/>
        </w:rPr>
        <w:t>12 | Conexión con debates mayores</w:t>
      </w:r>
    </w:p>
    <w:p>
      <w:r>
        <w:rPr>
          <w:sz w:val="20"/>
        </w:rPr>
        <w:t>El artículo se conecta centralmente con debates sobre state capacity y capacity building al proponer alternativas a mediciones basadas en éxito/falla. Se vincula con literatura de Nueva Gestión Pública (NPM) a través del análisis del "vaciamiento del estado" de Rhodes. Contribuye a debates sobre gobernanza multinivel al identificar cuatro niveles analíticos de capacidad. Se relaciona con descentralización al considerar variación contextual y sectorial de capacidades. Dialoga con literatura de gobernanza en red al incorporar actores no estatales en conceptualizaciones de capacidad.</w:t>
      </w:r>
    </w:p>
    <w:p>
      <w:pPr>
        <w:pStyle w:val="Heading2"/>
      </w:pPr>
      <w:r>
        <w:rPr>
          <w:color w:val="1B4332"/>
        </w:rPr>
        <w:t>13 | Observaciones críticas propias</w:t>
      </w:r>
    </w:p>
    <w:p>
      <w:r>
        <w:rPr>
          <w:sz w:val="20"/>
        </w:rPr>
        <w:t>El marco propuesto, aunque conceptualmente sólido, requiere mayor operacionalización empírica para ser aplicable. Los autores no problematizan suficientemente cómo las tres dimensiones propuestas podrían medirse de manera independiente entre sí. La analogía de la batería, aunque útil heurísticamente, podría oversimplificar la complejidad de sistemas políticos. El enfoque en demandas societales podría beneficiarse de mayor diálogo con literatura de responsiveness democrática. La dimensión de "satisfacción de expectativas" requiere mayor especificación teórica sobre cómo se forman y cambian las expectativas ciudadanas.</w:t>
      </w:r>
    </w:p>
    <w:p>
      <w:pPr>
        <w:pStyle w:val="Heading2"/>
      </w:pPr>
      <w:r>
        <w:rPr>
          <w:color w:val="1B4332"/>
        </w:rPr>
        <w:t>6 | Tipo de investigación y metodología</w:t>
      </w:r>
    </w:p>
    <w:p>
      <w:r>
        <w:rPr>
          <w:b/>
          <w:sz w:val="20"/>
        </w:rPr>
        <w:t xml:space="preserve">Diseño: </w:t>
      </w:r>
      <w:r>
        <w:rPr>
          <w:sz w:val="20"/>
        </w:rPr>
        <w:t>Meta-análisis cualitativo de literatura académica</w:t>
      </w:r>
    </w:p>
    <w:p>
      <w:r>
        <w:rPr>
          <w:b/>
          <w:sz w:val="20"/>
        </w:rPr>
        <w:t xml:space="preserve">Universo: </w:t>
      </w:r>
      <w:r>
        <w:rPr>
          <w:sz w:val="20"/>
        </w:rPr>
        <w:t>Estudios en ciencias de políticas y administrativas desde mediados del siglo XX</w:t>
      </w:r>
    </w:p>
    <w:p>
      <w:r>
        <w:rPr>
          <w:b/>
          <w:sz w:val="20"/>
        </w:rPr>
        <w:t xml:space="preserve">Muestra: </w:t>
      </w:r>
      <w:r>
        <w:rPr>
          <w:sz w:val="20"/>
        </w:rPr>
        <w:t>278 textos seleccionados de búsqueda inicial de casi 500 textos</w:t>
      </w:r>
    </w:p>
    <w:p>
      <w:r>
        <w:rPr>
          <w:b/>
          <w:sz w:val="20"/>
        </w:rPr>
        <w:t xml:space="preserve">Instrumentos: </w:t>
      </w:r>
      <w:r>
        <w:rPr>
          <w:sz w:val="20"/>
        </w:rPr>
        <w:t>Búsqueda en Google Scholar y bases de datos con palabras clave "capacity", "capability", "competency"</w:t>
      </w:r>
    </w:p>
    <w:p>
      <w:r>
        <w:rPr>
          <w:b/>
          <w:sz w:val="20"/>
        </w:rPr>
        <w:t xml:space="preserve">Variable dependiente: </w:t>
      </w:r>
      <w:r>
        <w:rPr>
          <w:sz w:val="20"/>
        </w:rPr>
        <w:t>Conceptualizaciones de capacidad de políticas</w:t>
      </w:r>
    </w:p>
    <w:p>
      <w:r>
        <w:rPr>
          <w:b/>
          <w:sz w:val="20"/>
        </w:rPr>
        <w:t xml:space="preserve">Variables independientes: </w:t>
      </w:r>
      <w:r>
        <w:rPr>
          <w:sz w:val="20"/>
        </w:rPr>
        <w:t>Definiciones, recursos políticos, funcionamiento de sistemas, variables explicativas</w:t>
      </w:r>
    </w:p>
    <w:p>
      <w:r>
        <w:rPr>
          <w:b/>
          <w:sz w:val="20"/>
        </w:rPr>
        <w:t xml:space="preserve">Análisis: </w:t>
      </w:r>
      <w:r>
        <w:rPr>
          <w:sz w:val="20"/>
        </w:rPr>
        <w:t>Análisis temático de definiciones, conceptualizaciones y mecanismos causales</w:t>
      </w:r>
    </w:p>
    <w:p>
      <w:r>
        <w:rPr>
          <w:b/>
          <w:sz w:val="20"/>
        </w:rPr>
        <w:t xml:space="preserve">País/Nivel de gobierno: </w:t>
      </w:r>
      <w:r>
        <w:rPr>
          <w:sz w:val="20"/>
        </w:rPr>
        <w:t>Análisis comparativo multinivel (programa, sector, intersectorial, sistema de gobernanza)</w:t>
      </w:r>
    </w:p>
    <w:p>
      <w:pPr>
        <w:pStyle w:val="Heading2"/>
      </w:pPr>
      <w:r>
        <w:rPr>
          <w:color w:val="1B4332"/>
        </w:rPr>
        <w:t>9 | Evidencia empírica / estadística</w:t>
      </w:r>
    </w:p>
    <w:p>
      <w:r>
        <w:rPr>
          <w:sz w:val="20"/>
        </w:rPr>
        <w:t>El meta-análisis de 278 textos revela temas consistentes: capacidad de políticas a menudo es deficiente y ha declinado en algunos lugares y períodos. Los autores identifican que cuando capacidad se "mide" según éxito o falla de políticas particulares, se introducen sesgos políticos debido a la naturaleza retrospectiva del análisis. La evidencia muestra que capacidad varía en tiempo, contextos, episodios y sectores, con al menos cuatro niveles principales: programa, sector de políticas, intersectorial y sistema de gobernanza. La analogía de la batería demuestra empíricamente que capacidad aumentada no necesariamente significa mayor probabilidad de "éxito" si las demandas también aumentan.</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Brenton, Baekkeskov y Hannah ofrecen una reconceptualización fundamental de capacidad de políticas que supera limitaciones tautológicas de enfoques previos centrados en éxito/falla. Su marco tripartito de capital administrativo, gestión política contingente y satisfacción de expectativas representa un avance significativo al incorporar sistemáticamente la dimensión de demanda alongside traditional supply-side considerations. La analogía de la batería efectivamente ilustra por qué capacidad incrementada no necesariamente correlaciona con mejor performance si las demandas también aumentan. El meta-análisis de seis décadas de literatura proporciona base sólida para futuras investigaciones. Sin embargo, el marco requiere mayor desarrollo empírico y operacionalización para realizar su potencial analítico. Este trabajo establece agenda de investigación prometedora para estudios comparativos de capacidad gubernamental que consideren both governmental capabilities and societal expectations. La relevancia es alta dado debates contemporáneos sobre efectividad estatal en contextos de creciente complejidad y expectativas ciudadanas.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C8E6C9"/>
          </w:tcPr>
          <w:p>
            <w:r>
              <w:rPr>
                <w:b/>
                <w:color w:val="2E7D32"/>
                <w:sz w:val="16"/>
              </w:rPr>
              <w:t xml:space="preserve">[2] </w:t>
            </w:r>
            <w:r>
              <w:rPr>
                <w:sz w:val="14"/>
              </w:rPr>
              <w:t xml:space="preserve">Propone dimensión "administrative capital" que incluye conocimiento técnico y habilidades </w:t>
            </w:r>
          </w:p>
        </w:tc>
        <w:tc>
          <w:tcPr>
            <w:tcW w:type="dxa" w:w="2351"/>
            <w:shd w:val="clear" w:color="auto" w:fill="FFF9C4"/>
          </w:tcPr>
          <w:p>
            <w:r>
              <w:rPr>
                <w:b/>
                <w:color w:val="F57F17"/>
                <w:sz w:val="16"/>
              </w:rPr>
              <w:t xml:space="preserve">[1] </w:t>
            </w:r>
            <w:r>
              <w:rPr>
                <w:sz w:val="14"/>
              </w:rPr>
              <w:t>Referencias limitadas a habilidades individuales de gestión dentro del marco operativo</w:t>
            </w:r>
          </w:p>
        </w:tc>
        <w:tc>
          <w:tcPr>
            <w:tcW w:type="dxa" w:w="2351"/>
            <w:shd w:val="clear" w:color="auto" w:fill="C8E6C9"/>
          </w:tcPr>
          <w:p>
            <w:r>
              <w:rPr>
                <w:b/>
                <w:color w:val="2E7D32"/>
                <w:sz w:val="16"/>
              </w:rPr>
              <w:t xml:space="preserve">[2] </w:t>
            </w:r>
            <w:r>
              <w:rPr>
                <w:sz w:val="14"/>
              </w:rPr>
              <w:t>Desarrolla "contingent political management" como competencia individual de navegación pol</w:t>
            </w:r>
          </w:p>
        </w:tc>
      </w:tr>
      <w:tr>
        <w:tc>
          <w:tcPr>
            <w:tcW w:type="dxa" w:w="2351"/>
            <w:shd w:val="clear" w:color="auto" w:fill="D8F3DC"/>
          </w:tcPr>
          <w:p>
            <w:r>
              <w:rPr>
                <w:b/>
                <w:sz w:val="16"/>
              </w:rPr>
              <w:t>ORGANIZACIONAL</w:t>
            </w:r>
          </w:p>
        </w:tc>
        <w:tc>
          <w:tcPr>
            <w:tcW w:type="dxa" w:w="2351"/>
            <w:shd w:val="clear" w:color="auto" w:fill="2E7D32"/>
          </w:tcPr>
          <w:p>
            <w:r>
              <w:rPr>
                <w:b/>
                <w:color w:val="FFFFFF"/>
                <w:sz w:val="16"/>
              </w:rPr>
              <w:t xml:space="preserve">[3] </w:t>
            </w:r>
            <w:r>
              <w:rPr>
                <w:sz w:val="14"/>
              </w:rPr>
              <w:t>Desarrolla extensamente el concepto de infraestructura organizacional y memoria institucio</w:t>
            </w:r>
          </w:p>
        </w:tc>
        <w:tc>
          <w:tcPr>
            <w:tcW w:type="dxa" w:w="2351"/>
            <w:shd w:val="clear" w:color="auto" w:fill="C8E6C9"/>
          </w:tcPr>
          <w:p>
            <w:r>
              <w:rPr>
                <w:b/>
                <w:color w:val="2E7D32"/>
                <w:sz w:val="16"/>
              </w:rPr>
              <w:t xml:space="preserve">[2] </w:t>
            </w:r>
            <w:r>
              <w:rPr>
                <w:sz w:val="14"/>
              </w:rPr>
              <w:t>Aborda coordinación organizacional como parte de las capacidades administrativas, aunque s</w:t>
            </w:r>
          </w:p>
        </w:tc>
        <w:tc>
          <w:tcPr>
            <w:tcW w:type="dxa" w:w="2351"/>
            <w:shd w:val="clear" w:color="auto" w:fill="2E7D32"/>
          </w:tcPr>
          <w:p>
            <w:r>
              <w:rPr>
                <w:b/>
                <w:color w:val="FFFFFF"/>
                <w:sz w:val="16"/>
              </w:rPr>
              <w:t xml:space="preserve">[3] </w:t>
            </w:r>
            <w:r>
              <w:rPr>
                <w:sz w:val="14"/>
              </w:rPr>
              <w:t>Elabora extensamente sobre legitimidad organizacional y acceso a decisores como componente</w:t>
            </w:r>
          </w:p>
        </w:tc>
      </w:tr>
      <w:tr>
        <w:tc>
          <w:tcPr>
            <w:tcW w:type="dxa" w:w="2351"/>
            <w:shd w:val="clear" w:color="auto" w:fill="D8F3DC"/>
          </w:tcPr>
          <w:p>
            <w:r>
              <w:rPr>
                <w:b/>
                <w:sz w:val="16"/>
              </w:rPr>
              <w:t>SISTÉMICO</w:t>
            </w:r>
          </w:p>
        </w:tc>
        <w:tc>
          <w:tcPr>
            <w:tcW w:type="dxa" w:w="2351"/>
            <w:shd w:val="clear" w:color="auto" w:fill="FFF9C4"/>
          </w:tcPr>
          <w:p>
            <w:r>
              <w:rPr>
                <w:b/>
                <w:color w:val="F57F17"/>
                <w:sz w:val="16"/>
              </w:rPr>
              <w:t xml:space="preserve">[1] </w:t>
            </w:r>
            <w:r>
              <w:rPr>
                <w:sz w:val="14"/>
              </w:rPr>
              <w:t>Menciona tangencialmente redes de conocimiento y think tanks en el contexto sistémico</w:t>
            </w:r>
          </w:p>
        </w:tc>
        <w:tc>
          <w:tcPr>
            <w:tcW w:type="dxa" w:w="2351"/>
            <w:shd w:val="clear" w:color="auto" w:fill="FFF9C4"/>
          </w:tcPr>
          <w:p>
            <w:r>
              <w:rPr>
                <w:b/>
                <w:color w:val="F57F17"/>
                <w:sz w:val="16"/>
              </w:rPr>
              <w:t xml:space="preserve">[1] </w:t>
            </w:r>
            <w:r>
              <w:rPr>
                <w:sz w:val="14"/>
              </w:rPr>
              <w:t>Menciona relaciones intergubernamentales pero sin desarrollo conceptual profundo</w:t>
            </w:r>
          </w:p>
        </w:tc>
        <w:tc>
          <w:tcPr>
            <w:tcW w:type="dxa" w:w="2351"/>
            <w:shd w:val="clear" w:color="auto" w:fill="2E7D32"/>
          </w:tcPr>
          <w:p>
            <w:r>
              <w:rPr>
                <w:b/>
                <w:color w:val="FFFFFF"/>
                <w:sz w:val="16"/>
              </w:rPr>
              <w:t xml:space="preserve">[3] </w:t>
            </w:r>
            <w:r>
              <w:rPr>
                <w:sz w:val="14"/>
              </w:rPr>
              <w:t>Propone "expectations satisfiction" como dimensión sistémica de legitimidad y confianza pú</w:t>
            </w:r>
          </w:p>
        </w:tc>
      </w:tr>
    </w:tbl>
    <w:p/>
    <w:p>
      <w:r>
        <w:rPr>
          <w:sz w:val="18"/>
        </w:rPr>
        <w:t>AI: 2 | Propone dimensión "administrative capital" que incluye conocimiento técnico y habilidades analíticas individuales</w:t>
        <w:br/>
        <w:t>AO: 3 | Desarrolla extensamente el concepto de infraestructura organizacional y memoria institucional como componente central del "administrative capital"</w:t>
        <w:br/>
        <w:t>AS: 1 | Menciona tangencialmente redes de conocimiento y think tanks en el contexto sistémico</w:t>
        <w:br/>
        <w:t>OI: 1 | Referencias limitadas a habilidades individuales de gestión dentro del marco operativo</w:t>
        <w:br/>
        <w:t>OO: 2 | Aborda coordinación organizacional como parte de las capacidades administrativas, aunque sin desarrollo específico</w:t>
        <w:br/>
        <w:t>OS: 1 | Menciona relaciones intergubernamentales pero sin desarrollo conceptual profundo</w:t>
        <w:br/>
        <w:t>PI: 2 | Desarrolla "contingent political management" como competencia individual de navegación política</w:t>
        <w:br/>
        <w:t>PO: 3 | Elabora extensamente sobre legitimidad organizacional y acceso a decisores como componente político-organizacional</w:t>
        <w:br/>
        <w:t>PS: 3 | Propone "expectations satisfiction" como dimensión sistémica de legitimidad y confianza pública</w:t>
        <w:br/>
        <w:br/>
        <w:t>CELDAS_PRINCIPALES: AO, PO, PS</w:t>
      </w:r>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r>
              <w:rPr>
                <w:sz w:val="19"/>
              </w:rPr>
              <w:t>No propone indicadores operacionalizables. Artículo teórico/conceptual.</w:t>
            </w:r>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r>
              <w:rPr>
                <w:sz w:val="19"/>
              </w:rPr>
              <w:t>No aplica — artículo sin instrumento de medición tipo encuesta</w:t>
            </w:r>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r>
              <w:rPr>
                <w:sz w:val="19"/>
              </w:rPr>
              <w:t>No aplica — artículo conceptual/diagnóstico</w:t>
            </w:r>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r>
              <w:rPr>
                <w:sz w:val="19"/>
              </w:rPr>
              <w:t>Administrative capital → acumulación de conocimiento organizacional → mejora en AO → moderado por rotación de personal</w:t>
              <w:br/>
              <w:t xml:space="preserve">Political management → navegación de redes de actores → aumento PI/PO → moderado por estabilidad institucional  </w:t>
              <w:br/>
              <w:t>Expectations satisfiction → alineación demanda-oferta → incremento PS → moderado por cambios en expectativas ciudadanas</w:t>
              <w:br/>
              <w:t>Reformas administrativas → "hollowing out" → decline AO/OO → acelerado por inclusión actores no estatales</w:t>
            </w:r>
          </w:p>
        </w:tc>
      </w:tr>
    </w:tbl>
    <w:p/>
    <w:p>
      <w:pPr>
        <w:pStyle w:val="Heading2"/>
      </w:pPr>
      <w:r>
        <w:rPr>
          <w:color w:val="1B4332"/>
        </w:rPr>
        <w:t>VI | Condiciones estructurales (facilitadoras/inhibidoras)</w:t>
      </w:r>
    </w:p>
    <w:p>
      <w:r>
        <w:rPr>
          <w:sz w:val="20"/>
        </w:rPr>
        <w:t>FACILITADORES:</w:t>
        <w:br/>
        <w:t>- Estabilidad institucional: permite acumulación de administrative capital y reduce pérdida de memoria organizacional</w:t>
        <w:br/>
        <w:t>- Equilibrio demanda-oferta: facilita expectations satisfiction y legitimidad sistémica</w:t>
        <w:br/>
        <w:t>- Redes de gobernanza: amplían capacidades a través de actores no estatales</w:t>
        <w:br/>
        <w:br/>
        <w:t>INHIBIDORES:</w:t>
        <w:br/>
        <w:t>- "Hollowing out": erosiona capacidades centrales y genera dependencia de actores externos</w:t>
        <w:br/>
        <w:t>- Rotación de personal: impide acumulación de administrative capital y memoria institucional</w:t>
        <w:br/>
        <w:t>- Desalineación expectativas: genera crisis de legitimidad y erosiona confianza pública</w:t>
        <w:br/>
        <w:t>- Crisis recurrentes: sobrecargan capacidades existentes y revelan deficiencias estructurales</w:t>
      </w:r>
    </w:p>
    <w:p>
      <w:pPr>
        <w:pStyle w:val="Heading2"/>
      </w:pPr>
      <w:r>
        <w:rPr>
          <w:color w:val="1B4332"/>
        </w:rPr>
        <w:t>VII | Comparabilidad contextual con Rionegro</w:t>
      </w:r>
    </w:p>
    <w:p>
      <w:r>
        <w:rPr>
          <w:b/>
          <w:sz w:val="20"/>
        </w:rPr>
        <w:t xml:space="preserve">País: </w:t>
      </w:r>
      <w:r>
        <w:rPr>
          <w:sz w:val="20"/>
        </w:rPr>
        <w:t>Revisión internacional (múltiples casos)</w:t>
      </w:r>
    </w:p>
    <w:p>
      <w:r>
        <w:rPr>
          <w:b/>
          <w:sz w:val="20"/>
        </w:rPr>
        <w:t xml:space="preserve">Nivel de gobierno: </w:t>
      </w:r>
      <w:r>
        <w:rPr>
          <w:sz w:val="20"/>
        </w:rPr>
        <w:t>Transversal (nacional, subnacional)</w:t>
      </w:r>
    </w:p>
    <w:p>
      <w:r>
        <w:rPr>
          <w:b/>
          <w:sz w:val="20"/>
        </w:rPr>
        <w:t xml:space="preserve">Tamaño del gobierno: </w:t>
      </w:r>
      <w:r>
        <w:rPr>
          <w:sz w:val="20"/>
        </w:rPr>
        <w:t>Múltiple</w:t>
      </w:r>
    </w:p>
    <w:p>
      <w:r>
        <w:rPr>
          <w:b/>
          <w:sz w:val="20"/>
        </w:rPr>
        <w:t xml:space="preserve">Ingreso/Categoría fiscal: </w:t>
      </w:r>
      <w:r>
        <w:rPr>
          <w:sz w:val="20"/>
        </w:rPr>
        <w:t>Múltiple</w:t>
      </w:r>
    </w:p>
    <w:p>
      <w:r>
        <w:rPr>
          <w:b/>
          <w:sz w:val="20"/>
        </w:rPr>
        <w:t xml:space="preserve">Tipo de régimen burocrático: </w:t>
      </w:r>
      <w:r>
        <w:rPr>
          <w:sz w:val="20"/>
        </w:rPr>
        <w:t>Múltiple, con énfasis en estados "hollowed out"</w:t>
      </w:r>
    </w:p>
    <w:p>
      <w:r>
        <w:rPr>
          <w:b/>
          <w:sz w:val="20"/>
        </w:rPr>
        <w:t xml:space="preserve">Sector de política: </w:t>
      </w:r>
      <w:r>
        <w:rPr>
          <w:sz w:val="20"/>
        </w:rPr>
        <w:t>Transversal</w:t>
      </w:r>
    </w:p>
    <w:p>
      <w:r>
        <w:rPr>
          <w:b/>
          <w:sz w:val="20"/>
        </w:rPr>
        <w:t xml:space="preserve">Comparabilidad con Rionegro: </w:t>
      </w:r>
      <w:r>
        <w:rPr>
          <w:sz w:val="20"/>
        </w:rPr>
        <w:t>Alta</w:t>
      </w:r>
    </w:p>
    <w:p>
      <w:r>
        <w:rPr>
          <w:b/>
          <w:sz w:val="20"/>
        </w:rPr>
        <w:t xml:space="preserve">Justificación: </w:t>
      </w:r>
      <w:r>
        <w:rPr>
          <w:sz w:val="20"/>
        </w:rPr>
        <w:t>El marco teórico es directamente aplicable al contexto de alta dependencia de contratistas y baja institucionalización weberiana en Rionegro</w:t>
      </w:r>
    </w:p>
    <w:p>
      <w:pPr>
        <w:pStyle w:val="Heading2"/>
      </w:pPr>
      <w:r>
        <w:rPr>
          <w:color w:val="1B4332"/>
        </w:rPr>
        <w:t>VIII | Conexión con las 4 preguntas empíricas</w:t>
      </w:r>
    </w:p>
    <w:p>
      <w:r>
        <w:rPr>
          <w:sz w:val="20"/>
        </w:rPr>
        <w:t>P1 — Anclaje duro → nivel organizacional: Marco sugiere que administrative capital requiere estabilización organizacional</w:t>
      </w:r>
      <w:r>
        <w:rPr>
          <w:b/>
          <w:color w:val="2E7D32"/>
          <w:sz w:val="20"/>
        </w:rPr>
        <w:t xml:space="preserve">  →  Soporta</w:t>
      </w:r>
    </w:p>
    <w:p>
      <w:r>
        <w:rPr>
          <w:sz w:val="20"/>
        </w:rPr>
        <w:t>P2 — Intervenciones blandas → individual/político: Political management enfatiza habilidades relacionales individuales</w:t>
      </w:r>
      <w:r>
        <w:rPr>
          <w:b/>
          <w:color w:val="2E7D32"/>
          <w:sz w:val="20"/>
        </w:rPr>
        <w:t xml:space="preserve">  →  Soporta</w:t>
      </w:r>
    </w:p>
    <w:p>
      <w:r>
        <w:rPr>
          <w:sz w:val="20"/>
        </w:rPr>
        <w:t>P3 — Inercia dimensional → restricciones estructurales: Identifica "hollowing out" como restricción estructural persistente</w:t>
      </w:r>
      <w:r>
        <w:rPr>
          <w:b/>
          <w:color w:val="2E7D32"/>
          <w:sz w:val="20"/>
        </w:rPr>
        <w:t xml:space="preserve">  →  Soporta</w:t>
      </w:r>
    </w:p>
    <w:p>
      <w:r>
        <w:rPr>
          <w:sz w:val="20"/>
        </w:rPr>
        <w:t>P4 — Apropiación superficial vs. real: Distingue entre capacidad aparente y expectations satisfiction real</w:t>
      </w:r>
      <w:r>
        <w:rPr>
          <w:b/>
          <w:color w:val="1565C0"/>
          <w:sz w:val="20"/>
        </w:rPr>
        <w:t xml:space="preserve">  →  Extiende</w:t>
      </w:r>
    </w:p>
    <w:p>
      <w:pPr>
        <w:pStyle w:val="Heading2"/>
      </w:pPr>
      <w:r>
        <w:rPr>
          <w:color w:val="1B4332"/>
        </w:rPr>
        <w:t>IX | Citas estratégicas categorizadas</w:t>
      </w:r>
    </w:p>
    <w:p>
      <w:pPr>
        <w:pStyle w:val="Heading3"/>
      </w:pPr>
      <w:r>
        <w:rPr>
          <w:color w:val="4A148C"/>
        </w:rPr>
        <w:t>Para Marco Teórico</w:t>
      </w:r>
    </w:p>
    <w:p>
      <w:pPr>
        <w:ind w:left="567" w:right="567"/>
      </w:pPr>
      <w:r>
        <w:rPr>
          <w:i/>
          <w:color w:val="444444"/>
          <w:sz w:val="19"/>
        </w:rPr>
        <w:t>""Policy capacity may not be a unified concept but rather a term used as proxy for variety of mechanisms" (p. 297)"</w:t>
      </w:r>
    </w:p>
    <w:p>
      <w:pPr>
        <w:ind w:left="567" w:right="567"/>
      </w:pPr>
      <w:r>
        <w:rPr>
          <w:i/>
          <w:color w:val="444444"/>
          <w:sz w:val="19"/>
        </w:rPr>
        <w:t>""Three interconnected dimensions better capture the qualities and relationality of supply and demand" (p. 297)"</w:t>
      </w:r>
    </w:p>
    <w:p>
      <w:pPr>
        <w:ind w:left="567" w:right="567"/>
      </w:pPr>
      <w:r>
        <w:rPr>
          <w:i/>
          <w:color w:val="444444"/>
          <w:sz w:val="19"/>
        </w:rPr>
        <w:t>""Administrative capital; contingent political management; and expectations satisfiction need to function together dynamically" (p. 298)"</w:t>
      </w:r>
    </w:p>
    <w:p>
      <w:pPr>
        <w:ind w:left="567" w:right="567"/>
      </w:pPr>
      <w:r>
        <w:rPr>
          <w:i/>
          <w:color w:val="444444"/>
          <w:sz w:val="19"/>
        </w:rPr>
        <w:t>""Hollowing out of the state with decline in central capability and inclusion of nonstate actors" (p. 298)"</w:t>
      </w:r>
    </w:p>
    <w:p>
      <w:pPr>
        <w:pStyle w:val="Heading3"/>
      </w:pPr>
      <w:r>
        <w:rPr>
          <w:color w:val="0D47A1"/>
        </w:rPr>
        <w:t>Para Metodología</w:t>
      </w:r>
    </w:p>
    <w:p>
      <w:pPr>
        <w:ind w:left="567" w:right="567"/>
      </w:pPr>
      <w:r>
        <w:rPr>
          <w:i/>
          <w:color w:val="444444"/>
          <w:sz w:val="19"/>
        </w:rPr>
        <w:t>""Meta-analysis of 278 texts focused on definitions, political resources and mechanisms leading to outcomes" (p. 299)"</w:t>
      </w:r>
    </w:p>
    <w:p>
      <w:pPr>
        <w:ind w:left="567" w:right="567"/>
      </w:pPr>
      <w:r>
        <w:rPr>
          <w:i/>
          <w:color w:val="444444"/>
          <w:sz w:val="19"/>
        </w:rPr>
        <w:t>""Policy capacity measured according to success or failure introduces political biases due to retrospective analysis" (p. 301)"</w:t>
      </w:r>
    </w:p>
    <w:p>
      <w:pPr>
        <w:ind w:left="567" w:right="567"/>
      </w:pPr>
      <w:r>
        <w:rPr>
          <w:i/>
          <w:color w:val="444444"/>
          <w:sz w:val="19"/>
        </w:rPr>
        <w:t>""Policy failed because of poor capacity exposes tautology hazardous to theoretically meaningful conceptualizations" (p. 301)"</w:t>
      </w:r>
    </w:p>
    <w:p>
      <w:pPr>
        <w:pStyle w:val="Heading3"/>
      </w:pPr>
      <w:r>
        <w:rPr>
          <w:color w:val="BF360C"/>
        </w:rPr>
        <w:t>Para Discusión</w:t>
      </w:r>
    </w:p>
    <w:p>
      <w:pPr>
        <w:ind w:left="567" w:right="567"/>
      </w:pPr>
      <w:r>
        <w:rPr>
          <w:i/>
          <w:color w:val="444444"/>
          <w:sz w:val="19"/>
        </w:rPr>
        <w:t>""Capacity has at least four main levels: program, policy sector, cross-sectoral, and governance system" (p. 300)"</w:t>
      </w:r>
    </w:p>
    <w:p>
      <w:pPr>
        <w:ind w:left="567" w:right="567"/>
      </w:pPr>
      <w:r>
        <w:rPr>
          <w:i/>
          <w:color w:val="444444"/>
          <w:sz w:val="19"/>
        </w:rPr>
        <w:t>""One consistent theme is that policy capacity is sometimes deficient and has declined" (p. 301)"</w:t>
      </w:r>
    </w:p>
    <w:p>
      <w:pPr>
        <w:ind w:left="567" w:right="567"/>
      </w:pPr>
      <w:r>
        <w:rPr>
          <w:i/>
          <w:color w:val="444444"/>
          <w:sz w:val="19"/>
        </w:rPr>
        <w:t>""Understanding sources of variance across time, contexts, episodes, and sectors is necessary" (p. 300)"</w:t>
      </w:r>
    </w:p>
    <w:p>
      <w:pPr>
        <w:ind w:left="567" w:right="567"/>
      </w:pPr>
      <w:r>
        <w:rPr>
          <w:i/>
          <w:color w:val="444444"/>
          <w:sz w:val="19"/>
        </w:rPr>
        <w:t>""Battery analogy captures equilibrium between demand generation and supply of policy responses" (p. 302)"</w:t>
      </w:r>
    </w:p>
    <w:p>
      <w:pPr>
        <w:pStyle w:val="Heading2"/>
      </w:pPr>
      <w:r>
        <w:rPr>
          <w:color w:val="1B4332"/>
        </w:rPr>
        <w:t>X | Vacíos estratégicos</w:t>
      </w:r>
    </w:p>
    <w:p>
      <w:r>
        <w:rPr>
          <w:sz w:val="20"/>
        </w:rPr>
        <w:t>1. No proporciona indicadores operacionalizables para medir las tres dimensiones propuestas</w:t>
        <w:br/>
        <w:t>2. Carece de evidencia empírica sobre efectividad diferencial de intervenciones</w:t>
        <w:br/>
        <w:t>3. No aborda específicamente contextos de alta dependencia de contratistas</w:t>
        <w:br/>
        <w:t>4. Ausencia de metodologías para evaluar "expectations satisfiction" en la práctica</w:t>
        <w:br/>
        <w:t>5. No desarrolla instrumentos para medir el equilibrio demanda-oferta a nivel subnacional</w:t>
        <w:br/>
        <w:t>6. Falta análisis de cómo operacionalizar "contingent political management" en contextos específicos</w:t>
      </w:r>
    </w:p>
    <w:p>
      <w:pPr>
        <w:pStyle w:val="Heading2"/>
      </w:pPr>
      <w:r>
        <w:rPr>
          <w:color w:val="1B4332"/>
        </w:rPr>
        <w:t>XI | Evaluación final estratégica</w:t>
      </w:r>
    </w:p>
    <w:p>
      <w:r>
        <w:rPr>
          <w:b/>
          <w:color w:val="1B5E20"/>
          <w:sz w:val="22"/>
        </w:rPr>
        <w:t>● CLASIFICACIÓN: FUNDAMENTAL</w:t>
      </w:r>
    </w:p>
    <w:tbl>
      <w:tblPr>
        <w:tblStyle w:val="TableGrid"/>
        <w:tblW w:type="auto" w:w="0"/>
        <w:tblLook w:firstColumn="1" w:firstRow="1" w:lastColumn="0" w:lastRow="0" w:noHBand="0" w:noVBand="1" w:val="04A0"/>
      </w:tblPr>
      <w:tblGrid>
        <w:gridCol w:w="9406"/>
      </w:tblGrid>
      <w:tr>
        <w:tc>
          <w:tcPr>
            <w:tcW w:type="dxa" w:w="9406"/>
            <w:shd w:val="clear" w:color="auto" w:fill="FFF8E1"/>
          </w:tcPr>
          <w:p/>
          <w:p>
            <w:r>
              <w:rPr>
                <w:sz w:val="19"/>
              </w:rPr>
              <w:t>Este artículo es fundamental para el proyecto Rionegro porque proporciona un marco conceptual alternativo al PCF que reconoce explícitamente la dimensión de demanda ciudadana ("expectations satisfiction") y el problema del "hollowing out" del estado, directamente relevante para contextos de alta dependencia de contratistas. Su propuesta de "administrative capital" como dimensión organizacional complementa perfectamente las celdas AO del PCF, mientras que "contingent political management" enriquece la comprensión de las competencias políticas individuales (PI) y organizacionales (PO). El marco teórico es especialmente valioso porque problematiza la tautología éxito/capacidad común en la literatura, ofreciendo una base conceptual más robusta para la medición de capacidades. Sin embargo, su naturaleza puramente conceptual requiere operacionalización empírica, vacío que el estudio de Rionegro puede llenar mediante el desarrollo de indicadores concretos para las tres dimensiones propuestas. La identificación del "hollowing out" como restricción estructural proporciona fundamento teórico sólido para analizar los desafíos específicos de municipios contractor-dominated como Rionegro.</w:t>
            </w:r>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