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332"/>
          <w:sz w:val="28"/>
        </w:rPr>
        <w:t>FICHA DE LECTURA — CAPACIDADES DE POLÍTICA PÚBLICA</w:t>
      </w:r>
    </w:p>
    <w:p>
      <w:pPr>
        <w:jc w:val="center"/>
      </w:pPr>
      <w:r>
        <w:rPr>
          <w:i/>
          <w:color w:val="666666"/>
          <w:sz w:val="20"/>
        </w:rPr>
        <w:t>Proyecto: Medición de capacidades — Municipio de Rionegro, Antioquia</w:t>
      </w:r>
    </w:p>
    <w:p>
      <w:pPr>
        <w:jc w:val="center"/>
      </w:pPr>
      <w:r>
        <w:rPr>
          <w:i/>
          <w:sz w:val="22"/>
        </w:rPr>
        <w:t>Cameron, B. T. (2025). Teaching policy capacity: A collaborative and constructivist workshop. Teaching Public Administration, 43(1), 96-107. https://doi.org/10.1177/01447394241230150</w:t>
      </w:r>
    </w:p>
    <w:p>
      <w:pPr>
        <w:jc w:val="center"/>
      </w:pPr>
      <w:r>
        <w:rPr>
          <w:b/>
          <w:color w:val="1565C0"/>
          <w:sz w:val="22"/>
        </w:rPr>
        <w:t>● COMPLEMENTARIA ● Puntaje matriz: 12/27</w:t>
      </w:r>
    </w:p>
    <w:p/>
    <w:p>
      <w:pPr>
        <w:pStyle w:val="Heading1"/>
      </w:pPr>
      <w:r>
        <w:rPr>
          <w:color w:val="1B4332"/>
        </w:rPr>
        <w:t>PARTE I — FICHA GENÉRICA DEL ARTÍCULO</w:t>
      </w:r>
    </w:p>
    <w:p>
      <w:pPr>
        <w:pStyle w:val="Heading2"/>
      </w:pPr>
      <w:r>
        <w:rPr>
          <w:color w:val="1B4332"/>
        </w:rPr>
        <w:t>1 | Referencia bibliográfica (APA 7)</w:t>
      </w:r>
    </w:p>
    <w:p>
      <w:r>
        <w:rPr>
          <w:sz w:val="20"/>
        </w:rPr>
        <w:t>Cameron, B. T. (2025). Teaching policy capacity: A collaborative and constructivist workshop. Teaching Public Administration, 43(1), 96-107. https://doi.org/10.1177/01447394241230150</w:t>
      </w:r>
    </w:p>
    <w:p>
      <w:pPr>
        <w:pStyle w:val="Heading2"/>
      </w:pPr>
      <w:r>
        <w:rPr>
          <w:color w:val="1B4332"/>
        </w:rPr>
        <w:t>2 | Objetivo explícito del autor</w:t>
      </w:r>
    </w:p>
    <w:p>
      <w:r>
        <w:rPr>
          <w:sz w:val="20"/>
        </w:rPr>
        <w:t>El estudio presenta un enfoque pedagógico para enseñar capacidad de políticas públicas a funcionarios civiles mediante un taller colaborativo y constructivista. Busca demostrar cómo los talleres conceptuales pueden mejorar la formación basada en habilidades y el conocimiento del entorno de políticas públicas.</w:t>
      </w:r>
    </w:p>
    <w:p>
      <w:pPr>
        <w:ind w:left="567" w:right="567"/>
      </w:pPr>
      <w:r>
        <w:rPr>
          <w:i/>
          <w:color w:val="444444"/>
          <w:sz w:val="19"/>
        </w:rPr>
        <w:t>""introduce civil servants to the concept of policy capacity can enhance skills-based training and knowledge of the policy environment" (p. 96)"</w:t>
      </w:r>
    </w:p>
    <w:p>
      <w:pPr>
        <w:pStyle w:val="Heading2"/>
      </w:pPr>
      <w:r>
        <w:rPr>
          <w:color w:val="1B4332"/>
        </w:rPr>
        <w:t>3 | Pregunta de investigación</w:t>
      </w:r>
    </w:p>
    <w:p>
      <w:pPr>
        <w:ind w:left="567" w:right="567"/>
      </w:pPr>
      <w:r>
        <w:rPr>
          <w:i/>
          <w:color w:val="444444"/>
          <w:sz w:val="19"/>
        </w:rPr>
        <w:t>"¿Cómo puede un taller colaborativo y constructivista introducir efectivamente a los funcionarios civiles al concepto de capacidad de políticas públicas como fundamento para el aprendizaje futuro?"</w:t>
      </w:r>
    </w:p>
    <w:p>
      <w:pPr>
        <w:pStyle w:val="Heading2"/>
      </w:pPr>
      <w:r>
        <w:rPr>
          <w:color w:val="1B4332"/>
        </w:rPr>
        <w:t>4 | Tesis central</w:t>
      </w:r>
    </w:p>
    <w:p>
      <w:r>
        <w:rPr>
          <w:sz w:val="20"/>
        </w:rPr>
        <w:t>Los talleres que introducen a los funcionarios civiles al concepto de capacidad de políticas públicas pueden mejorar significativamente la formación basada en habilidades a través de pedagogías colaborativas y constructivistas. El enfoque permite a los participantes construir activamente su comprensión del marco teórico mientras desarrollan conocimiento del entorno local de políticas públicas. La actividad de clasificación de tarjetas facilita la conexión entre habilidades específicas y el "panorama general" de la capacidad de políticas públicas.</w:t>
      </w:r>
    </w:p>
    <w:p>
      <w:pPr>
        <w:ind w:left="567" w:right="567"/>
      </w:pPr>
      <w:r>
        <w:rPr>
          <w:i/>
          <w:color w:val="444444"/>
          <w:sz w:val="19"/>
        </w:rPr>
        <w:t>""provide learners with the 'big picture' and connectedness of policy skills, resources and competences—policy capacity" (p. 97)"</w:t>
      </w:r>
    </w:p>
    <w:p>
      <w:pPr>
        <w:pStyle w:val="Heading2"/>
      </w:pPr>
      <w:r>
        <w:rPr>
          <w:color w:val="1B4332"/>
        </w:rPr>
        <w:t>5 | Marco teórico utilizado</w:t>
      </w:r>
    </w:p>
    <w:p>
      <w:r>
        <w:rPr>
          <w:sz w:val="20"/>
        </w:rPr>
        <w:t>1. Marco de Capacidad de Políticas Públicas (Wu et al., 2015, 2018): Framework de nueve tipos de capacidad analítica, operacional y política en niveles micro, meso y macro</w:t>
        <w:br/>
        <w:t>2. Pedagogía Colaborativa: Enfoque que enfatiza el aprendizaje grupal y la resolución colectiva de problemas</w:t>
        <w:br/>
        <w:t>3. Pedagogía Constructivista: Aproximación que privilegia el aprendizaje activo y la construcción de significado a partir de experiencias auténticas</w:t>
        <w:br/>
        <w:t>4. Teoría de Enseñanza de Conceptos: Marco de cuatro pasos para la enseñanza efectiva de conceptos (Tennyson y Park, 1980)</w:t>
      </w:r>
    </w:p>
    <w:p>
      <w:pPr>
        <w:pStyle w:val="Heading2"/>
      </w:pPr>
      <w:r>
        <w:rPr>
          <w:color w:val="1B4332"/>
        </w:rPr>
        <w:t>7 | Conceptos clave</w:t>
      </w:r>
    </w:p>
    <w:p>
      <w:r>
        <w:rPr>
          <w:sz w:val="20"/>
        </w:rPr>
        <w:t>1. **Capacidad de Políticas Públicas**: "analytical, operational and political skills and capabilities required at the individual (micro), organizational (meso) and environmental/system (macro) levels to develop effective public policies" (p. 98)</w:t>
        <w:br/>
        <w:t>2. **Capacidad Analítica**: Habilidades asociadas con el análisis de políticas públicas (p. 98)</w:t>
        <w:br/>
        <w:t>3. **Capacidad Operacional**: Experticia en dotación de personal, coordinación y planificación (p. 98)</w:t>
        <w:br/>
        <w:t>4. **Capacidad Política**: Habilidades en comunicación y construcción de consensos (p. 98)</w:t>
        <w:br/>
        <w:t>5. **Entorno de Políticas**: Contexto local que incluye actores, instituciones y recursos relevantes para el desarrollo de políticas (p. 102)</w:t>
        <w:br/>
        <w:t>6. **Pedagogía Constructivista**: Enfoque que "emphasizes that students acquire knowledge best from being active in the learning process and authentic experiences" (p. 99)</w:t>
      </w:r>
    </w:p>
    <w:p>
      <w:pPr>
        <w:pStyle w:val="Heading2"/>
      </w:pPr>
      <w:r>
        <w:rPr>
          <w:color w:val="1B4332"/>
        </w:rPr>
        <w:t>8 | Reconstrucción analítica del argumento</w:t>
      </w:r>
    </w:p>
    <w:p>
      <w:r>
        <w:rPr>
          <w:sz w:val="20"/>
        </w:rPr>
        <w:t>El autor argumenta que los funcionarios civiles frecuentemente no están familiarizados con el concepto de capacidad de políticas públicas, lo cual es problemático para el aprendizaje efectivo. El taller diseñado utiliza una actividad de clasificación de tarjetas donde los participantes categorizan actores, habilidades, recursos e instituciones según el marco de Wu et al. Los resultados sugieren que los participantes no solo ganaron conocimiento sobre la teoría de capacidad de políticas públicas, sino también sobre el entorno local y el marco micro-meso-macro como herramienta analítica.</w:t>
      </w:r>
    </w:p>
    <w:p>
      <w:pPr>
        <w:pStyle w:val="Heading2"/>
      </w:pPr>
      <w:r>
        <w:rPr>
          <w:color w:val="1B4332"/>
        </w:rPr>
        <w:t>10 | Aportes principales</w:t>
      </w:r>
    </w:p>
    <w:p>
      <w:r>
        <w:rPr>
          <w:sz w:val="20"/>
        </w:rPr>
        <w:t>1. Desarrollo de metodología pedagógica específica para enseñar capacidad de políticas públicas</w:t>
        <w:br/>
        <w:t>2. Demostración de la efectividad de enfoques colaborativos y constructivistas en formación de funcionarios</w:t>
        <w:br/>
        <w:t>3. Propuesta de talleres conceptuales como complemento a la formación técnica tradicional</w:t>
        <w:br/>
        <w:t>4. Identificación de la importancia del conocimiento del entorno local de políticas públicas</w:t>
      </w:r>
    </w:p>
    <w:p>
      <w:pPr>
        <w:pStyle w:val="Heading2"/>
      </w:pPr>
      <w:r>
        <w:rPr>
          <w:color w:val="1B4332"/>
        </w:rPr>
        <w:t>11 | Limitaciones</w:t>
      </w:r>
    </w:p>
    <w:p>
      <w:r>
        <w:rPr>
          <w:sz w:val="20"/>
        </w:rPr>
        <w:t>1. Ausencia de evaluación pre-/post para documentar empíricamente el desarrollo de conocimiento</w:t>
        <w:br/>
        <w:t>2. Falta de estudios longitudinales sobre efectos a largo plazo del entrenamiento</w:t>
        <w:br/>
        <w:t>3. No incorporación sistemática de literatura sobre enseñanza de conceptos</w:t>
        <w:br/>
        <w:t>4. Limitaciones del facilitador en formación pedagógica formal</w:t>
      </w:r>
    </w:p>
    <w:p>
      <w:pPr>
        <w:pStyle w:val="Heading2"/>
      </w:pPr>
      <w:r>
        <w:rPr>
          <w:color w:val="1B4332"/>
        </w:rPr>
        <w:t>12 | Conexión con debates mayores</w:t>
      </w:r>
    </w:p>
    <w:p>
      <w:r>
        <w:rPr>
          <w:sz w:val="20"/>
        </w:rPr>
        <w:t>El artículo se conecta con debates sobre capacity building en administración pública, la brecha teoría-práctica en el campo, y la importancia de la formación conceptual versus técnica. Contribuye a la literatura emergente sobre pedagogías innovadoras en administración pública y la necesidad de enfoques más holísticos para el desarrollo de capacidades gubernamentales.</w:t>
      </w:r>
    </w:p>
    <w:p>
      <w:pPr>
        <w:pStyle w:val="Heading2"/>
      </w:pPr>
      <w:r>
        <w:rPr>
          <w:color w:val="1B4332"/>
        </w:rPr>
        <w:t>13 | Observaciones críticas propias</w:t>
      </w:r>
    </w:p>
    <w:p>
      <w:r>
        <w:rPr>
          <w:sz w:val="20"/>
        </w:rPr>
        <w:t>El estudio carece de medición sistemática de resultados de aprendizaje y se basa principalmente en observaciones informales. La ausencia de grupo de control limita las conclusiones sobre efectividad. No problematiza suficientemente las tensiones entre diferentes niveles de capacidad o las implicaciones de recursos limitados. Sería valioso explorar cómo adaptar el enfoque a diferentes contextos gubernamentales y culturas organizacionales.</w:t>
      </w:r>
    </w:p>
    <w:p>
      <w:pPr>
        <w:pStyle w:val="Heading2"/>
      </w:pPr>
      <w:r>
        <w:rPr>
          <w:color w:val="1B4332"/>
        </w:rPr>
        <w:t>6 | Tipo de investigación y metodología</w:t>
      </w:r>
    </w:p>
    <w:p>
      <w:r>
        <w:rPr>
          <w:b/>
          <w:sz w:val="20"/>
        </w:rPr>
        <w:t xml:space="preserve">Diseño: </w:t>
      </w:r>
      <w:r>
        <w:rPr>
          <w:sz w:val="20"/>
        </w:rPr>
        <w:t>Estudio de caso descriptivo de intervención pedagógica</w:t>
      </w:r>
    </w:p>
    <w:p>
      <w:r>
        <w:rPr>
          <w:b/>
          <w:sz w:val="20"/>
        </w:rPr>
        <w:t xml:space="preserve">Universo: </w:t>
      </w:r>
      <w:r>
        <w:rPr>
          <w:sz w:val="20"/>
        </w:rPr>
        <w:t>Funcionarios civiles del Gobierno de Isla del Príncipe Eduardo</w:t>
      </w:r>
    </w:p>
    <w:p>
      <w:r>
        <w:rPr>
          <w:b/>
          <w:sz w:val="20"/>
        </w:rPr>
        <w:t xml:space="preserve">Muestra: </w:t>
      </w:r>
      <w:r>
        <w:rPr>
          <w:sz w:val="20"/>
        </w:rPr>
        <w:t>Aproximadamente 20 funcionarios provinciales (analistas de políticas, coordinadores, planificadores)</w:t>
      </w:r>
    </w:p>
    <w:p>
      <w:r>
        <w:rPr>
          <w:b/>
          <w:sz w:val="20"/>
        </w:rPr>
        <w:t xml:space="preserve">Instrumentos: </w:t>
      </w:r>
      <w:r>
        <w:rPr>
          <w:sz w:val="20"/>
        </w:rPr>
        <w:t>Taller de 2.5 horas con actividad de clasificación de tarjetas, presentación introductoria, ejercicio de reflexión</w:t>
      </w:r>
    </w:p>
    <w:p>
      <w:r>
        <w:rPr>
          <w:b/>
          <w:sz w:val="20"/>
        </w:rPr>
        <w:t xml:space="preserve">Variable dependiente: </w:t>
      </w:r>
      <w:r>
        <w:rPr>
          <w:sz w:val="20"/>
        </w:rPr>
        <w:t>Comprensión del concepto de capacidad de políticas públicas y conocimiento del entorno local</w:t>
      </w:r>
    </w:p>
    <w:p>
      <w:r>
        <w:rPr>
          <w:b/>
          <w:sz w:val="20"/>
        </w:rPr>
        <w:t xml:space="preserve">Variables independientes: </w:t>
      </w:r>
      <w:r>
        <w:rPr>
          <w:sz w:val="20"/>
        </w:rPr>
        <w:t>No aplica (estudio descriptivo)</w:t>
      </w:r>
    </w:p>
    <w:p>
      <w:r>
        <w:rPr>
          <w:b/>
          <w:sz w:val="20"/>
        </w:rPr>
        <w:t xml:space="preserve">Análisis: </w:t>
      </w:r>
      <w:r>
        <w:rPr>
          <w:sz w:val="20"/>
        </w:rPr>
        <w:t>Reflexión cualitativa post-taller</w:t>
      </w:r>
    </w:p>
    <w:p>
      <w:r>
        <w:rPr>
          <w:b/>
          <w:sz w:val="20"/>
        </w:rPr>
        <w:t xml:space="preserve">País/Nivel de gobierno: </w:t>
      </w:r>
      <w:r>
        <w:rPr>
          <w:sz w:val="20"/>
        </w:rPr>
        <w:t>Canadá, nivel provincial (Isla del Príncipe Eduardo)</w:t>
      </w:r>
    </w:p>
    <w:p>
      <w:pPr>
        <w:pStyle w:val="Heading2"/>
      </w:pPr>
      <w:r>
        <w:rPr>
          <w:color w:val="1B4332"/>
        </w:rPr>
        <w:t>9 | Evidencia empírica / estadística</w:t>
      </w:r>
    </w:p>
    <w:p>
      <w:r>
        <w:rPr>
          <w:sz w:val="20"/>
        </w:rPr>
        <w:t>- Los participantes reportaron desconocimiento previo de varias instituciones y recursos incluidos en la actividad</w:t>
        <w:br/>
        <w:t>- Comentarios de los participantes indicaron mayor comprensión del entorno de políticas públicas local</w:t>
        <w:br/>
        <w:t>- Observación de discusiones grupales críticas y rearreglo de categorizaciones durante la actividad</w:t>
        <w:br/>
        <w:t>- Construcción colectiva exitosa de diagramas visuales del entorno de políticas públicas</w:t>
      </w:r>
    </w:p>
    <w:p>
      <w:pPr>
        <w:pStyle w:val="Heading2"/>
      </w:pPr>
      <w:r>
        <w:rPr>
          <w:color w:val="1B4332"/>
        </w:rPr>
        <w:t>14 | Conclusión analítica sintética</w:t>
      </w:r>
    </w:p>
    <w:tbl>
      <w:tblPr>
        <w:tblStyle w:val="TableGrid"/>
        <w:tblW w:type="auto" w:w="0"/>
        <w:tblLook w:firstColumn="1" w:firstRow="1" w:lastColumn="0" w:lastRow="0" w:noHBand="0" w:noVBand="1" w:val="04A0"/>
      </w:tblPr>
      <w:tblGrid>
        <w:gridCol w:w="9406"/>
      </w:tblGrid>
      <w:tr>
        <w:tc>
          <w:tcPr>
            <w:tcW w:type="dxa" w:w="9406"/>
            <w:shd w:val="clear" w:color="auto" w:fill="E8F5E9"/>
          </w:tcPr>
          <w:p/>
          <w:p>
            <w:r>
              <w:rPr>
                <w:sz w:val="19"/>
              </w:rPr>
              <w:t>Cameron demuestra que los talleres conceptuales basados en pedagogías colaborativas y constructivistas pueden efectivamente introducir a los funcionarios civiles al marco de capacidad de políticas públicas de Wu et al. El enfoque permite conectar habilidades específicas con el "panorama general" del entorno de políticas, abordando una brecha identificada en la literatura donde los funcionarios no están familiarizados con conceptos teóricos fundamentales. La actividad de clasificación de tarjetas emerge como una herramienta pedagógica prometedora que facilita tanto el aprendizaje conceptual como el conocimiento del contexto local. El estudio contribuye significativamente a la literatura sobre formación en administración pública al proponer metodologías específicas que pueden ser adaptadas y mejoradas por otros jurisdicciones. Sin embargo, la ausencia de evaluación sistemática limita las conclusiones sobre efectividad a largo plazo. La investigación subraya la importancia de integrar formación pedagógica para funcionarios que actúan como facilitadores, sugiriendo oportunidades para fortalecer las capacidades institucionales de aprendizaje organizacional en el sector público.</w:t>
            </w:r>
          </w:p>
        </w:tc>
      </w:tr>
    </w:tbl>
    <w:p/>
    <w:p>
      <w:r>
        <w:br w:type="page"/>
      </w:r>
    </w:p>
    <w:p>
      <w:pPr>
        <w:pStyle w:val="Heading1"/>
      </w:pPr>
      <w:r>
        <w:rPr>
          <w:color w:val="1B4332"/>
        </w:rPr>
        <w:t>PARTE II — FICHA AJUSTADA AL PROYECTO DE CAPACIDADES</w:t>
      </w:r>
    </w:p>
    <w:p>
      <w:r>
        <w:rPr>
          <w:i/>
          <w:sz w:val="20"/>
        </w:rPr>
        <w:t>Matriz de Wu et al. (2015/2018) aplicada a Rionegro, Antioquia</w:t>
      </w:r>
    </w:p>
    <w:p>
      <w:pPr>
        <w:pStyle w:val="Heading2"/>
      </w:pPr>
      <w:r>
        <w:rPr>
          <w:color w:val="1B4332"/>
        </w:rPr>
        <w:t>I | Mapeo a la Matriz de Capacidades (9 celdas)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B4332"/>
          </w:tcPr>
          <w:p>
            <w:r>
              <w:rPr>
                <w:b/>
                <w:color w:val="FFFFFF"/>
                <w:sz w:val="16"/>
              </w:rPr>
              <w:t>Nivel \ Competencia</w:t>
            </w:r>
          </w:p>
        </w:tc>
        <w:tc>
          <w:tcPr>
            <w:tcW w:type="dxa" w:w="2351"/>
            <w:shd w:val="clear" w:color="auto" w:fill="1B4332"/>
          </w:tcPr>
          <w:p>
            <w:r>
              <w:rPr>
                <w:b/>
                <w:color w:val="FFFFFF"/>
                <w:sz w:val="16"/>
              </w:rPr>
              <w:t>ANALÍTICA</w:t>
            </w:r>
          </w:p>
        </w:tc>
        <w:tc>
          <w:tcPr>
            <w:tcW w:type="dxa" w:w="2351"/>
            <w:shd w:val="clear" w:color="auto" w:fill="1B4332"/>
          </w:tcPr>
          <w:p>
            <w:r>
              <w:rPr>
                <w:b/>
                <w:color w:val="FFFFFF"/>
                <w:sz w:val="16"/>
              </w:rPr>
              <w:t>OPERATIVA</w:t>
            </w:r>
          </w:p>
        </w:tc>
        <w:tc>
          <w:tcPr>
            <w:tcW w:type="dxa" w:w="2351"/>
            <w:shd w:val="clear" w:color="auto" w:fill="1B4332"/>
          </w:tcPr>
          <w:p>
            <w:r>
              <w:rPr>
                <w:b/>
                <w:color w:val="FFFFFF"/>
                <w:sz w:val="16"/>
              </w:rPr>
              <w:t>POLÍTICA</w:t>
            </w:r>
          </w:p>
        </w:tc>
      </w:tr>
      <w:tr>
        <w:tc>
          <w:tcPr>
            <w:tcW w:type="dxa" w:w="2351"/>
            <w:shd w:val="clear" w:color="auto" w:fill="D8F3DC"/>
          </w:tcPr>
          <w:p>
            <w:r>
              <w:rPr>
                <w:b/>
                <w:sz w:val="16"/>
              </w:rPr>
              <w:t>INDIVIDUAL</w:t>
            </w:r>
          </w:p>
        </w:tc>
        <w:tc>
          <w:tcPr>
            <w:tcW w:type="dxa" w:w="2351"/>
            <w:shd w:val="clear" w:color="auto" w:fill="C8E6C9"/>
          </w:tcPr>
          <w:p>
            <w:r>
              <w:rPr>
                <w:b/>
                <w:color w:val="2E7D32"/>
                <w:sz w:val="16"/>
              </w:rPr>
              <w:t xml:space="preserve">[2] </w:t>
            </w:r>
            <w:r>
              <w:rPr>
                <w:sz w:val="14"/>
              </w:rPr>
              <w:t>Desarrolla habilidades analíticas individuales como análisis de políticas y competencias t</w:t>
            </w:r>
          </w:p>
        </w:tc>
        <w:tc>
          <w:tcPr>
            <w:tcW w:type="dxa" w:w="2351"/>
            <w:shd w:val="clear" w:color="auto" w:fill="2E7D32"/>
          </w:tcPr>
          <w:p>
            <w:r>
              <w:rPr>
                <w:b/>
                <w:color w:val="FFFFFF"/>
                <w:sz w:val="16"/>
              </w:rPr>
              <w:t xml:space="preserve">[3] </w:t>
            </w:r>
            <w:r>
              <w:rPr>
                <w:sz w:val="14"/>
              </w:rPr>
              <w:t>Aporte metodológico directo sobre liderazgo pedagógico, coordinación de talleres y gestión</w:t>
            </w:r>
          </w:p>
        </w:tc>
        <w:tc>
          <w:tcPr>
            <w:tcW w:type="dxa" w:w="2351"/>
            <w:shd w:val="clear" w:color="auto" w:fill="C8E6C9"/>
          </w:tcPr>
          <w:p>
            <w:r>
              <w:rPr>
                <w:b/>
                <w:color w:val="2E7D32"/>
                <w:sz w:val="16"/>
              </w:rPr>
              <w:t xml:space="preserve">[2] </w:t>
            </w:r>
            <w:r>
              <w:rPr>
                <w:sz w:val="14"/>
              </w:rPr>
              <w:t>Desarrolla conceptualmente habilidades de comunicación, construcción de consensos y negoci</w:t>
            </w:r>
          </w:p>
        </w:tc>
      </w:tr>
      <w:tr>
        <w:tc>
          <w:tcPr>
            <w:tcW w:type="dxa" w:w="2351"/>
            <w:shd w:val="clear" w:color="auto" w:fill="D8F3DC"/>
          </w:tcPr>
          <w:p>
            <w:r>
              <w:rPr>
                <w:b/>
                <w:sz w:val="16"/>
              </w:rPr>
              <w:t>ORGANIZACIONAL</w:t>
            </w:r>
          </w:p>
        </w:tc>
        <w:tc>
          <w:tcPr>
            <w:tcW w:type="dxa" w:w="2351"/>
            <w:shd w:val="clear" w:color="auto" w:fill="FFF9C4"/>
          </w:tcPr>
          <w:p>
            <w:r>
              <w:rPr>
                <w:b/>
                <w:color w:val="F57F17"/>
                <w:sz w:val="16"/>
              </w:rPr>
              <w:t xml:space="preserve">[1] </w:t>
            </w:r>
            <w:r>
              <w:rPr>
                <w:sz w:val="14"/>
              </w:rPr>
              <w:t>Menciona tangencialmente la cultura organizacional de evidencia pero no profundiza en infr</w:t>
            </w:r>
          </w:p>
        </w:tc>
        <w:tc>
          <w:tcPr>
            <w:tcW w:type="dxa" w:w="2351"/>
            <w:shd w:val="clear" w:color="auto" w:fill="C8E6C9"/>
          </w:tcPr>
          <w:p>
            <w:r>
              <w:rPr>
                <w:b/>
                <w:color w:val="2E7D32"/>
                <w:sz w:val="16"/>
              </w:rPr>
              <w:t xml:space="preserve">[2] </w:t>
            </w:r>
            <w:r>
              <w:rPr>
                <w:sz w:val="14"/>
              </w:rPr>
              <w:t>Propone metodología específica para coordinación interna y transferencia de conocimiento e</w:t>
            </w:r>
          </w:p>
        </w:tc>
        <w:tc>
          <w:tcPr>
            <w:tcW w:type="dxa" w:w="2351"/>
            <w:shd w:val="clear" w:color="auto" w:fill="FFF9C4"/>
          </w:tcPr>
          <w:p>
            <w:r>
              <w:rPr>
                <w:b/>
                <w:color w:val="F57F17"/>
                <w:sz w:val="16"/>
              </w:rPr>
              <w:t xml:space="preserve">[1] </w:t>
            </w:r>
            <w:r>
              <w:rPr>
                <w:sz w:val="14"/>
              </w:rPr>
              <w:t>Mención tangencial del acceso a decisores pero enfocado en contexto pedagógico</w:t>
            </w:r>
          </w:p>
        </w:tc>
      </w:tr>
      <w:tr>
        <w:tc>
          <w:tcPr>
            <w:tcW w:type="dxa" w:w="2351"/>
            <w:shd w:val="clear" w:color="auto" w:fill="D8F3DC"/>
          </w:tcPr>
          <w:p>
            <w:r>
              <w:rPr>
                <w:b/>
                <w:sz w:val="16"/>
              </w:rPr>
              <w:t>SISTÉMICO</w:t>
            </w:r>
          </w:p>
        </w:tc>
        <w:tc>
          <w:tcPr>
            <w:tcW w:type="dxa" w:w="2351"/>
            <w:shd w:val="clear" w:color="auto" w:fill="FFF9C4"/>
          </w:tcPr>
          <w:p>
            <w:r>
              <w:rPr>
                <w:b/>
                <w:color w:val="F57F17"/>
                <w:sz w:val="16"/>
              </w:rPr>
              <w:t xml:space="preserve">[1] </w:t>
            </w:r>
            <w:r>
              <w:rPr>
                <w:sz w:val="14"/>
              </w:rPr>
              <w:t>Referencias superficiales a think tanks y datos externos pero sin desarrollo conceptual</w:t>
            </w:r>
          </w:p>
        </w:tc>
        <w:tc>
          <w:tcPr>
            <w:tcW w:type="dxa" w:w="2351"/>
            <w:shd w:val="clear" w:color="auto" w:fill="F5F5F5"/>
          </w:tcPr>
          <w:p>
            <w:r>
              <w:rPr>
                <w:b/>
                <w:color w:val="999999"/>
                <w:sz w:val="16"/>
              </w:rPr>
              <w:t xml:space="preserve">[0] </w:t>
            </w:r>
            <w:r>
              <w:rPr>
                <w:sz w:val="14"/>
              </w:rPr>
              <w:t>No aborda relaciones intergubernamentales ni marcos legales</w:t>
            </w:r>
          </w:p>
        </w:tc>
        <w:tc>
          <w:tcPr>
            <w:tcW w:type="dxa" w:w="2351"/>
            <w:shd w:val="clear" w:color="auto" w:fill="F5F5F5"/>
          </w:tcPr>
          <w:p>
            <w:r>
              <w:rPr>
                <w:b/>
                <w:color w:val="999999"/>
                <w:sz w:val="16"/>
              </w:rPr>
              <w:t xml:space="preserve">[0] </w:t>
            </w:r>
            <w:r>
              <w:rPr>
                <w:sz w:val="14"/>
              </w:rPr>
              <w:t>No menciona legitimidad, confianza pública o rendición de cuentas</w:t>
            </w:r>
          </w:p>
        </w:tc>
      </w:tr>
    </w:tbl>
    <w:p/>
    <w:p>
      <w:r>
        <w:rPr>
          <w:sz w:val="18"/>
        </w:rPr>
        <w:t>AI: 2 | Desarrolla habilidades analíticas individuales como análisis de políticas y competencias técnicas a través del taller constructivista</w:t>
        <w:br/>
        <w:t>AO: 1 | Menciona tangencialmente la cultura organizacional de evidencia pero no profundiza en infraestructura institucional</w:t>
        <w:br/>
        <w:t>AS: 1 | Referencias superficiales a think tanks y datos externos pero sin desarrollo conceptual</w:t>
        <w:br/>
        <w:t>OI: 3 | Aporte metodológico directo sobre liderazgo pedagógico, coordinación de talleres y gestión del aprendizaje organizacional</w:t>
        <w:br/>
        <w:t>OO: 2 | Propone metodología específica para coordinación interna y transferencia de conocimiento entre funcionarios</w:t>
        <w:br/>
        <w:t>OS: 0 | No aborda relaciones intergubernamentales ni marcos legales</w:t>
        <w:br/>
        <w:t>PI: 2 | Desarrolla conceptualmente habilidades de comunicación, construcción de consensos y negociación a través del aprendizaje colaborativo</w:t>
        <w:br/>
        <w:t>PO: 1 | Mención tangencial del acceso a decisores pero enfocado en contexto pedagógico</w:t>
        <w:br/>
        <w:t>PS: 0 | No menciona legitimidad, confianza pública o rendición de cuentas</w:t>
        <w:br/>
        <w:t>CELDAS_PRINCIPALES: OI, AI, OO</w:t>
      </w:r>
    </w:p>
    <w:p>
      <w:pPr>
        <w:pStyle w:val="Heading2"/>
      </w:pPr>
      <w:r>
        <w:rPr>
          <w:color w:val="1B4332"/>
        </w:rPr>
        <w:t>II | Indicadores operacionalizables extraídos</w:t>
      </w:r>
    </w:p>
    <w:tbl>
      <w:tblPr>
        <w:tblStyle w:val="TableGrid"/>
        <w:tblW w:type="auto" w:w="0"/>
        <w:tblLook w:firstColumn="1" w:firstRow="1" w:lastColumn="0" w:lastRow="0" w:noHBand="0" w:noVBand="1" w:val="04A0"/>
      </w:tblPr>
      <w:tblGrid>
        <w:gridCol w:w="9406"/>
      </w:tblGrid>
      <w:tr>
        <w:tc>
          <w:tcPr>
            <w:tcW w:type="dxa" w:w="9406"/>
            <w:shd w:val="clear" w:color="auto" w:fill="E3F2FD"/>
          </w:tcPr>
          <w:p/>
          <w:p>
            <w:r>
              <w:rPr>
                <w:b/>
                <w:color w:val="1B4332"/>
                <w:sz w:val="20"/>
              </w:rPr>
              <w:t>Indicadores para instrumento de medición</w:t>
            </w:r>
          </w:p>
          <w:p>
            <w:r>
              <w:rPr>
                <w:sz w:val="19"/>
              </w:rPr>
              <w:t>No propone indicadores operacionalizables. Artículo metodológico-pedagógico enfocado en diseño de intervención educativa.</w:t>
            </w:r>
          </w:p>
        </w:tc>
      </w:tr>
    </w:tbl>
    <w:p/>
    <w:p>
      <w:pPr>
        <w:pStyle w:val="Heading2"/>
      </w:pPr>
      <w:r>
        <w:rPr>
          <w:color w:val="1B4332"/>
        </w:rPr>
        <w:t>III | Variables, escalas e ítems de encuesta</w:t>
      </w:r>
    </w:p>
    <w:tbl>
      <w:tblPr>
        <w:tblStyle w:val="TableGrid"/>
        <w:tblW w:type="auto" w:w="0"/>
        <w:tblLook w:firstColumn="1" w:firstRow="1" w:lastColumn="0" w:lastRow="0" w:noHBand="0" w:noVBand="1" w:val="04A0"/>
      </w:tblPr>
      <w:tblGrid>
        <w:gridCol w:w="9406"/>
      </w:tblGrid>
      <w:tr>
        <w:tc>
          <w:tcPr>
            <w:tcW w:type="dxa" w:w="9406"/>
            <w:shd w:val="clear" w:color="auto" w:fill="F3E5F5"/>
          </w:tcPr>
          <w:p/>
          <w:p>
            <w:r>
              <w:rPr>
                <w:b/>
                <w:color w:val="1B4332"/>
                <w:sz w:val="20"/>
              </w:rPr>
              <w:t>Ítems extraíbles para instrumento Rionegro</w:t>
            </w:r>
          </w:p>
          <w:p>
            <w:r>
              <w:rPr>
                <w:sz w:val="19"/>
              </w:rPr>
              <w:t>No aplica — artículo sin instrumento de medición tipo encuesta</w:t>
            </w:r>
          </w:p>
        </w:tc>
      </w:tr>
    </w:tbl>
    <w:p/>
    <w:p>
      <w:pPr>
        <w:pStyle w:val="Heading2"/>
      </w:pPr>
      <w:r>
        <w:rPr>
          <w:color w:val="1B4332"/>
        </w:rPr>
        <w:t>IV | Intervenciones de Capacity Building</w:t>
      </w:r>
    </w:p>
    <w:tbl>
      <w:tblPr>
        <w:tblStyle w:val="TableGrid"/>
        <w:tblW w:type="auto" w:w="0"/>
        <w:tblLook w:firstColumn="1" w:firstRow="1" w:lastColumn="0" w:lastRow="0" w:noHBand="0" w:noVBand="1" w:val="04A0"/>
      </w:tblPr>
      <w:tblGrid>
        <w:gridCol w:w="9406"/>
      </w:tblGrid>
      <w:tr>
        <w:tc>
          <w:tcPr>
            <w:tcW w:type="dxa" w:w="9406"/>
            <w:shd w:val="clear" w:color="auto" w:fill="FFF3E0"/>
          </w:tcPr>
          <w:p/>
          <w:p>
            <w:r>
              <w:rPr>
                <w:sz w:val="19"/>
              </w:rPr>
              <w:t xml:space="preserve">ANCLAJE BLANDO: </w:t>
              <w:br/>
              <w:t>- Taller constructivista de 2.5 horas con actividad de clasificación de tarjetas</w:t>
              <w:br/>
              <w:t>- Transferencia de conocimiento a través de pedagogía colaborativa</w:t>
              <w:br/>
              <w:t>- Sensemaking colectivo mediante construcción visual del entorno de políticas</w:t>
              <w:br/>
              <w:t>- Mentoring implícito del instructor-facilitador hacia funcionarios</w:t>
              <w:br/>
              <w:br/>
              <w:t>ANCLAJE DURO:</w:t>
              <w:br/>
              <w:t>- Formato estandarizado de taller (4 componentes estructurados)</w:t>
              <w:br/>
              <w:t>- Marco conceptual fijo (matriz de Wu et al. 2015)</w:t>
              <w:br/>
              <w:t>- Protocolo específico de clasificación de tarjetas</w:t>
            </w:r>
          </w:p>
        </w:tc>
      </w:tr>
    </w:tbl>
    <w:p/>
    <w:p>
      <w:pPr>
        <w:pStyle w:val="Heading2"/>
      </w:pPr>
      <w:r>
        <w:rPr>
          <w:color w:val="1B4332"/>
        </w:rPr>
        <w:t>V | Cadena causal: Intervención → Capacidad</w:t>
      </w:r>
    </w:p>
    <w:tbl>
      <w:tblPr>
        <w:tblStyle w:val="TableGrid"/>
        <w:tblW w:type="auto" w:w="0"/>
        <w:tblLook w:firstColumn="1" w:firstRow="1" w:lastColumn="0" w:lastRow="0" w:noHBand="0" w:noVBand="1" w:val="04A0"/>
      </w:tblPr>
      <w:tblGrid>
        <w:gridCol w:w="9406"/>
      </w:tblGrid>
      <w:tr>
        <w:tc>
          <w:tcPr>
            <w:tcW w:type="dxa" w:w="9406"/>
            <w:shd w:val="clear" w:color="auto" w:fill="FCE4EC"/>
          </w:tcPr>
          <w:p/>
          <w:p>
            <w:r>
              <w:rPr>
                <w:b/>
                <w:color w:val="1B4332"/>
                <w:sz w:val="20"/>
              </w:rPr>
              <w:t>Intervención → Mecanismo → Celda → Moderador</w:t>
            </w:r>
          </w:p>
          <w:p>
            <w:r>
              <w:rPr>
                <w:sz w:val="19"/>
              </w:rPr>
              <w:t>Taller colaborativo → construcción activa de conocimiento → aumento en comprensión conceptual (AI) → moderado por experiencia previa de participantes</w:t>
              <w:br/>
              <w:br/>
              <w:t>Actividad de clasificación → discusión grupal → mejora en habilidades de coordinación (OI, OO) → facilitado por diversidad de roles de participantes</w:t>
              <w:br/>
              <w:br/>
              <w:t>Pedagogía constructivista → aprendizaje situado → desarrollo de habilidades políticas (PI) → condicionado por contexto organizacional específico</w:t>
            </w:r>
          </w:p>
        </w:tc>
      </w:tr>
    </w:tbl>
    <w:p/>
    <w:p>
      <w:pPr>
        <w:pStyle w:val="Heading2"/>
      </w:pPr>
      <w:r>
        <w:rPr>
          <w:color w:val="1B4332"/>
        </w:rPr>
        <w:t>VI | Condiciones estructurales (facilitadoras/inhibidoras)</w:t>
      </w:r>
    </w:p>
    <w:p>
      <w:r>
        <w:rPr>
          <w:sz w:val="20"/>
        </w:rPr>
        <w:t>FACILITADORES:</w:t>
        <w:br/>
        <w:t>- Diversidad de roles: participantes con diferentes posiciones enriquecen discusión grupal</w:t>
        <w:br/>
        <w:t>- Apoyo institucional: respaldo gubernamental a través de Policy Capacity Learning Series</w:t>
        <w:br/>
        <w:t>- Conocimiento local: uso de ejemplos específicos del contexto de Isla del Príncipe Eduardo</w:t>
        <w:br/>
        <w:br/>
        <w:t>INHIBIDORES:</w:t>
        <w:br/>
        <w:t>- Dependencia del instructor: requiere facilitador con expertise específico en policy capacity</w:t>
        <w:br/>
        <w:t>- Limitación temporal: intervención puntual sin seguimiento longitudinal</w:t>
        <w:br/>
        <w:t>- Ausencia de evaluación: no mide efectos a mediano/largo plazo</w:t>
      </w:r>
    </w:p>
    <w:p>
      <w:pPr>
        <w:pStyle w:val="Heading2"/>
      </w:pPr>
      <w:r>
        <w:rPr>
          <w:color w:val="1B4332"/>
        </w:rPr>
        <w:t>VII | Comparabilidad contextual con Rionegro</w:t>
      </w:r>
    </w:p>
    <w:p>
      <w:r>
        <w:rPr>
          <w:b/>
          <w:sz w:val="20"/>
        </w:rPr>
        <w:t xml:space="preserve">País: </w:t>
      </w:r>
      <w:r>
        <w:rPr>
          <w:sz w:val="20"/>
        </w:rPr>
        <w:t>Canadá</w:t>
      </w:r>
    </w:p>
    <w:p>
      <w:r>
        <w:rPr>
          <w:b/>
          <w:sz w:val="20"/>
        </w:rPr>
        <w:t xml:space="preserve">Nivel de gobierno: </w:t>
      </w:r>
      <w:r>
        <w:rPr>
          <w:sz w:val="20"/>
        </w:rPr>
        <w:t>estatal-departamental (provincial)</w:t>
      </w:r>
    </w:p>
    <w:p>
      <w:r>
        <w:rPr>
          <w:b/>
          <w:sz w:val="20"/>
        </w:rPr>
        <w:t xml:space="preserve">Tamaño del gobierno: </w:t>
      </w:r>
      <w:r>
        <w:rPr>
          <w:sz w:val="20"/>
        </w:rPr>
        <w:t>pequeño (Isla del Príncipe Eduardo)</w:t>
      </w:r>
    </w:p>
    <w:p>
      <w:r>
        <w:rPr>
          <w:b/>
          <w:sz w:val="20"/>
        </w:rPr>
        <w:t xml:space="preserve">Ingreso/Categoría fiscal: </w:t>
      </w:r>
      <w:r>
        <w:rPr>
          <w:sz w:val="20"/>
        </w:rPr>
        <w:t>alto (jurisdicción desarrollada)</w:t>
      </w:r>
    </w:p>
    <w:p>
      <w:r>
        <w:rPr>
          <w:b/>
          <w:sz w:val="20"/>
        </w:rPr>
        <w:t xml:space="preserve">Tipo de régimen burocrático: </w:t>
      </w:r>
      <w:r>
        <w:rPr>
          <w:sz w:val="20"/>
        </w:rPr>
        <w:t>weberiano (sistema merit-based canadiense)</w:t>
      </w:r>
    </w:p>
    <w:p>
      <w:r>
        <w:rPr>
          <w:b/>
          <w:sz w:val="20"/>
        </w:rPr>
        <w:t xml:space="preserve">Sector de política: </w:t>
      </w:r>
      <w:r>
        <w:rPr>
          <w:sz w:val="20"/>
        </w:rPr>
        <w:t>transversal (funcionarios de múltiples departamentos)</w:t>
      </w:r>
    </w:p>
    <w:p>
      <w:r>
        <w:rPr>
          <w:b/>
          <w:sz w:val="20"/>
        </w:rPr>
        <w:t xml:space="preserve">Comparabilidad con Rionegro: </w:t>
      </w:r>
      <w:r>
        <w:rPr>
          <w:sz w:val="20"/>
        </w:rPr>
        <w:t>Media</w:t>
      </w:r>
    </w:p>
    <w:p>
      <w:r>
        <w:rPr>
          <w:b/>
          <w:sz w:val="20"/>
        </w:rPr>
        <w:t xml:space="preserve">Justificación: </w:t>
      </w:r>
      <w:r>
        <w:rPr>
          <w:sz w:val="20"/>
        </w:rPr>
        <w:t>Ambos gobiernos subnacionales pequeños, pero difieren en desarrollo institucional y dependencia de contratistas</w:t>
      </w:r>
    </w:p>
    <w:p>
      <w:pPr>
        <w:pStyle w:val="Heading2"/>
      </w:pPr>
      <w:r>
        <w:rPr>
          <w:color w:val="1B4332"/>
        </w:rPr>
        <w:t>VIII | Conexión con las 4 preguntas empíricas</w:t>
      </w:r>
    </w:p>
    <w:p>
      <w:r>
        <w:rPr>
          <w:sz w:val="20"/>
        </w:rPr>
        <w:t>P1 — Anclaje duro → nivel organizacional: Formato estructurado del taller genera efectos en coordinación organizacional (OO)</w:t>
      </w:r>
      <w:r>
        <w:rPr>
          <w:b/>
          <w:color w:val="2E7D32"/>
          <w:sz w:val="20"/>
        </w:rPr>
        <w:t xml:space="preserve">  →  Soporta parcialmente</w:t>
      </w:r>
    </w:p>
    <w:p>
      <w:r>
        <w:rPr>
          <w:sz w:val="20"/>
        </w:rPr>
        <w:t>P2 — Intervenciones blandas → individual/político: Pedagogía colaborativa mejora capacidades individuales (AI) y políticas (PI)</w:t>
      </w:r>
      <w:r>
        <w:rPr>
          <w:b/>
          <w:color w:val="2E7D32"/>
          <w:sz w:val="20"/>
        </w:rPr>
        <w:t xml:space="preserve">  →  Soporta</w:t>
      </w:r>
    </w:p>
    <w:p>
      <w:r>
        <w:rPr>
          <w:sz w:val="20"/>
        </w:rPr>
        <w:t>P3 — Inercia dimensional → restricciones estructurales: Dimensiones sistémicas (AS, OS, PS) permanecen inalteradas por limitaciones de alcance</w:t>
      </w:r>
      <w:r>
        <w:rPr>
          <w:b/>
          <w:color w:val="2E7D32"/>
          <w:sz w:val="20"/>
        </w:rPr>
        <w:t xml:space="preserve">  →  Soporta</w:t>
      </w:r>
    </w:p>
    <w:p>
      <w:r>
        <w:rPr>
          <w:sz w:val="20"/>
        </w:rPr>
        <w:t>P4 — Apropiación superficial vs. real: Reconoce necesidad de seguimiento pero no evalúa durabilidad del aprendizaje</w:t>
      </w:r>
      <w:r>
        <w:rPr>
          <w:b/>
          <w:color w:val="1565C0"/>
          <w:sz w:val="20"/>
        </w:rPr>
        <w:t xml:space="preserve">  →  Extiende</w:t>
      </w:r>
    </w:p>
    <w:p>
      <w:pPr>
        <w:pStyle w:val="Heading2"/>
      </w:pPr>
      <w:r>
        <w:rPr>
          <w:color w:val="1B4332"/>
        </w:rPr>
        <w:t>IX | Citas estratégicas categorizadas</w:t>
      </w:r>
    </w:p>
    <w:p>
      <w:pPr>
        <w:pStyle w:val="Heading3"/>
      </w:pPr>
      <w:r>
        <w:rPr>
          <w:color w:val="4A148C"/>
        </w:rPr>
        <w:t>Para Marco Teórico</w:t>
      </w:r>
    </w:p>
    <w:p>
      <w:pPr>
        <w:ind w:left="567" w:right="567"/>
      </w:pPr>
      <w:r>
        <w:rPr>
          <w:i/>
          <w:color w:val="444444"/>
          <w:sz w:val="19"/>
        </w:rPr>
        <w:t>""Policy capacity framework outlines analytical, operational and political skills required at individual, organizational and environmental levels" (p. 97)"</w:t>
      </w:r>
    </w:p>
    <w:p>
      <w:pPr>
        <w:ind w:left="567" w:right="567"/>
      </w:pPr>
      <w:r>
        <w:rPr>
          <w:i/>
          <w:color w:val="444444"/>
          <w:sz w:val="19"/>
        </w:rPr>
        <w:t>""Civil servants may not be familiar with the concept of policy capacity" (p. 97)"</w:t>
      </w:r>
    </w:p>
    <w:p>
      <w:pPr>
        <w:ind w:left="567" w:right="567"/>
      </w:pPr>
      <w:r>
        <w:rPr>
          <w:i/>
          <w:color w:val="444444"/>
          <w:sz w:val="19"/>
        </w:rPr>
        <w:t>""Learning should be situated in and reflect local contexts and real-world examples" (p. 99)"</w:t>
      </w:r>
    </w:p>
    <w:p>
      <w:pPr>
        <w:pStyle w:val="Heading3"/>
      </w:pPr>
      <w:r>
        <w:rPr>
          <w:color w:val="0D47A1"/>
        </w:rPr>
        <w:t>Para Metodología</w:t>
      </w:r>
    </w:p>
    <w:p>
      <w:pPr>
        <w:ind w:left="567" w:right="567"/>
      </w:pPr>
      <w:r>
        <w:rPr>
          <w:i/>
          <w:color w:val="444444"/>
          <w:sz w:val="19"/>
        </w:rPr>
        <w:t>""Collaborative approach stresses that students who work together learn more and retain more" (p. 99)"</w:t>
      </w:r>
    </w:p>
    <w:p>
      <w:pPr>
        <w:ind w:left="567" w:right="567"/>
      </w:pPr>
      <w:r>
        <w:rPr>
          <w:i/>
          <w:color w:val="444444"/>
          <w:sz w:val="19"/>
        </w:rPr>
        <w:t>""Constructivist approach emphasizes that students acquire knowledge best from being active in the learning process" (p. 99)"</w:t>
      </w:r>
    </w:p>
    <w:p>
      <w:pPr>
        <w:pStyle w:val="Heading3"/>
      </w:pPr>
      <w:r>
        <w:rPr>
          <w:color w:val="BF360C"/>
        </w:rPr>
        <w:t>Para Discusión</w:t>
      </w:r>
    </w:p>
    <w:p>
      <w:pPr>
        <w:ind w:left="567" w:right="567"/>
      </w:pPr>
      <w:r>
        <w:rPr>
          <w:i/>
          <w:color w:val="444444"/>
          <w:sz w:val="19"/>
        </w:rPr>
        <w:t>""Workshops introducing civil servants to policy capacity can enhance skills-based training and knowledge of policy environment" (p. 96)"</w:t>
      </w:r>
    </w:p>
    <w:p>
      <w:pPr>
        <w:ind w:left="567" w:right="567"/>
      </w:pPr>
      <w:r>
        <w:rPr>
          <w:i/>
          <w:color w:val="444444"/>
          <w:sz w:val="19"/>
        </w:rPr>
        <w:t>""Groups tended to arrive at common understanding of how items aligned with the framework" (p. 101)"</w:t>
      </w:r>
    </w:p>
    <w:p>
      <w:pPr>
        <w:ind w:left="567" w:right="567"/>
      </w:pPr>
      <w:r>
        <w:rPr>
          <w:i/>
          <w:color w:val="444444"/>
          <w:sz w:val="19"/>
        </w:rPr>
        <w:t>""Participants physically affix cards constructing a common visual that groups agreed with and understood" (p. 101)"</w:t>
      </w:r>
    </w:p>
    <w:p>
      <w:pPr>
        <w:pStyle w:val="Heading2"/>
      </w:pPr>
      <w:r>
        <w:rPr>
          <w:color w:val="1B4332"/>
        </w:rPr>
        <w:t>X | Vacíos estratégicos</w:t>
      </w:r>
    </w:p>
    <w:p>
      <w:r>
        <w:rPr>
          <w:sz w:val="20"/>
        </w:rPr>
        <w:t>1. No evalúa efectividad real de la intervención ni mide cambios en capacidades</w:t>
        <w:br/>
        <w:t>2. Ausencia de seguimiento longitudinal para verificar durabilidad del aprendizaje</w:t>
        <w:br/>
        <w:t>3. No aborda específicamente contextos de alta dependencia de contratistas</w:t>
        <w:br/>
        <w:t>4. Limitación a dimensiones individuales y organizacionales, sin impacto sistémico</w:t>
        <w:br/>
        <w:t>5. Falta de instrumentos de medición pre/post intervención</w:t>
      </w:r>
    </w:p>
    <w:p>
      <w:pPr>
        <w:pStyle w:val="Heading2"/>
      </w:pPr>
      <w:r>
        <w:rPr>
          <w:color w:val="1B4332"/>
        </w:rPr>
        <w:t>XI | Evaluación final estratégica</w:t>
      </w:r>
    </w:p>
    <w:p>
      <w:r>
        <w:rPr>
          <w:b/>
          <w:color w:val="1565C0"/>
          <w:sz w:val="22"/>
        </w:rPr>
        <w:t>● CLASIFICACIÓN: COMPLEMENTARIA</w:t>
      </w:r>
    </w:p>
    <w:tbl>
      <w:tblPr>
        <w:tblStyle w:val="TableGrid"/>
        <w:tblW w:type="auto" w:w="0"/>
        <w:tblLook w:firstColumn="1" w:firstRow="1" w:lastColumn="0" w:lastRow="0" w:noHBand="0" w:noVBand="1" w:val="04A0"/>
      </w:tblPr>
      <w:tblGrid>
        <w:gridCol w:w="9406"/>
      </w:tblGrid>
      <w:tr>
        <w:tc>
          <w:tcPr>
            <w:tcW w:type="dxa" w:w="9406"/>
            <w:shd w:val="clear" w:color="auto" w:fill="FFF8E1"/>
          </w:tcPr>
          <w:p/>
          <w:p>
            <w:r>
              <w:rPr>
                <w:sz w:val="19"/>
              </w:rPr>
              <w:t>Este artículo aporta una metodología pedagógica específica para desarrollar capacidades individuales y organizacionales a través de talleres constructivistas, con especial fortaleza en las dimensiones operativa-individual (OI) y analítica-individual (AI). Su contribución principal radica en demostrar cómo las intervenciones blandas pueden mejorar la comprensión conceptual del policy capacity framework entre funcionarios públicos. Para el proyecto de Rionegro, ofrece un modelo replicable de transferencia de conocimiento que podría adaptarse al contexto de alta dependencia de contratistas, aunque requeriría ajustes significativos para abordar las dimensiones sistémicas y evaluar efectos sostenibles. La metodología colaborativa podría ser particularmente útil para desarrollar capacidades de coordinación entre personal de planta y contratistas. Sin embargo, el artículo no aborda la medición rigurosa de capacidades ni proporciona indicadores operacionalizables, limitando su aplicabilidad directa al componente de evaluación del proyecto Rionegro.</w:t>
            </w:r>
          </w:p>
        </w:tc>
      </w:tr>
    </w:tbl>
    <w:p/>
    <w:p>
      <w:pPr>
        <w:jc w:val="right"/>
      </w:pPr>
      <w:r>
        <w:rPr>
          <w:i/>
          <w:color w:val="999999"/>
          <w:sz w:val="16"/>
        </w:rPr>
        <w:t>Ficha generada automáticamente · 09/04/2026 · Proyecto Capacidades Rionegro · PCF Wu et al. · v2</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