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Capano, G., Howlett, M., &amp; Ramesh, M. (Eds.). (2015). Varieties of governance: Dynamics, strategies, capacities. Palgrave Macmillan.</w:t>
      </w:r>
    </w:p>
    <w:p>
      <w:pPr>
        <w:jc w:val="center"/>
      </w:pPr>
      <w:r>
        <w:rPr>
          <w:b/>
          <w:color w:val="E65100"/>
          <w:sz w:val="22"/>
        </w:rPr>
        <w:t>● IMPORTANTE ● Puntaje matriz: 18/27</w:t>
      </w:r>
    </w:p>
    <w:p/>
    <w:p>
      <w:pPr>
        <w:pStyle w:val="Heading1"/>
      </w:pPr>
      <w:r>
        <w:rPr>
          <w:color w:val="1B4332"/>
        </w:rPr>
        <w:t>PARTE I — FICHA GENÉRICA DEL ARTÍCULO</w:t>
      </w:r>
    </w:p>
    <w:p>
      <w:pPr>
        <w:pStyle w:val="Heading2"/>
      </w:pPr>
      <w:r>
        <w:rPr>
          <w:color w:val="1B4332"/>
        </w:rPr>
        <w:t>1 | Referencia bibliográfica (APA 7)</w:t>
      </w:r>
    </w:p>
    <w:p>
      <w:r>
        <w:rPr>
          <w:sz w:val="20"/>
        </w:rPr>
        <w:t>Capano, G., Howlett, M., &amp; Ramesh, M. (Eds.). (2015). Varieties of governance: Dynamics, strategies, capacities. Palgrave Macmillan.</w:t>
      </w:r>
    </w:p>
    <w:p>
      <w:pPr>
        <w:pStyle w:val="Heading2"/>
      </w:pPr>
      <w:r>
        <w:rPr>
          <w:color w:val="1B4332"/>
        </w:rPr>
        <w:t>2 | Objetivo explícito del autor</w:t>
      </w:r>
    </w:p>
    <w:p>
      <w:r>
        <w:rPr>
          <w:sz w:val="20"/>
        </w:rPr>
        <w:t>El estudio busca analizar la complejidad contemporánea de los procesos de formulación de políticas públicas a través del concepto de gobernanza, examinando por qué existen múltiples "variedades de gobernanza" tanto transnacionalmente como intersectorialmente. Se propone entender cómo han surgido estas variedades y su importancia para el futuro de los estudios de gobernanza.</w:t>
      </w:r>
    </w:p>
    <w:p>
      <w:pPr>
        <w:ind w:left="567" w:right="567"/>
      </w:pPr>
      <w:r>
        <w:rPr>
          <w:i/>
          <w:color w:val="444444"/>
          <w:sz w:val="19"/>
        </w:rPr>
        <w:t>""understanding why this is the case and how it has come about is important for the future of governance studies" (p. 3)"</w:t>
      </w:r>
    </w:p>
    <w:p>
      <w:pPr>
        <w:pStyle w:val="Heading2"/>
      </w:pPr>
      <w:r>
        <w:rPr>
          <w:color w:val="1B4332"/>
        </w:rPr>
        <w:t>3 | Pregunta de investigación</w:t>
      </w:r>
    </w:p>
    <w:p>
      <w:pPr>
        <w:ind w:left="567" w:right="567"/>
      </w:pPr>
      <w:r>
        <w:rPr>
          <w:i/>
          <w:color w:val="444444"/>
          <w:sz w:val="19"/>
        </w:rPr>
        <w:t>"¿Por qué existen múltiples "variedades de gobernanza" tanto a nivel transnacional como intersectorial, y cómo han surgido estas variaciones en los arreglos de gobernanza?"</w:t>
      </w:r>
    </w:p>
    <w:p>
      <w:pPr>
        <w:pStyle w:val="Heading2"/>
      </w:pPr>
      <w:r>
        <w:rPr>
          <w:color w:val="1B4332"/>
        </w:rPr>
        <w:t>4 | Tesis central</w:t>
      </w:r>
    </w:p>
    <w:p>
      <w:r>
        <w:rPr>
          <w:sz w:val="20"/>
        </w:rPr>
        <w:t>La gobernanza no es una moda sino una lente firmemente establecida para analizar la complejidad de la formulación de políticas contemporáneas. Los modos de gobernanza no son estables sino dinámicos, cambiando a lo largo del tiempo conforme los gobiernos adoptan diferentes características arquitectónicas y combinan herramientas de política de maneras distintas. Un modo de gobernanza representa un momento de equilibrio más que un arreglo fijo, lo que genera múltiples variedades que requieren análisis en términos de dinámicas, estrategias y capacidades.</w:t>
      </w:r>
    </w:p>
    <w:p>
      <w:pPr>
        <w:ind w:left="567" w:right="567"/>
      </w:pPr>
      <w:r>
        <w:rPr>
          <w:i/>
          <w:color w:val="444444"/>
          <w:sz w:val="19"/>
        </w:rPr>
        <w:t>""A mode of governance, in this perspective, is an equilibrium moment, rather than" (p. 3)"</w:t>
      </w:r>
    </w:p>
    <w:p>
      <w:pPr>
        <w:pStyle w:val="Heading2"/>
      </w:pPr>
      <w:r>
        <w:rPr>
          <w:color w:val="1B4332"/>
        </w:rPr>
        <w:t>5 | Marco teórico utilizado</w:t>
      </w:r>
    </w:p>
    <w:p>
      <w:r>
        <w:rPr>
          <w:sz w:val="20"/>
        </w:rPr>
        <w:t>1. **Teoría de la Gobernanza**: Marco general para analizar la complejidad de los procesos políticos contemporáneos</w:t>
        <w:br/>
        <w:t>2. **Dinámicas de Gobernanza**: Análisis de cómo los modos de gobernanza cambian temporalmente</w:t>
        <w:br/>
        <w:t>3. **Estrategias de Gobernanza**: Enfoques gubernamentales para modificar arreglos arquitectónicos</w:t>
        <w:br/>
        <w:t>4. **Capacidades de Gobernanza**: Marco para evaluar las capacidades institucionales (relacionado con enfoques de capacidad estatal)</w:t>
        <w:br/>
        <w:t>5. **Gobernanza Multinivel**: Análisis de arreglos de gobernanza en múltiples niveles territoriales</w:t>
        <w:br/>
        <w:t>6. **Meta-gobernanza**: Perspectiva sobre la gobernanza de la gobernanza</w:t>
      </w:r>
    </w:p>
    <w:p>
      <w:pPr>
        <w:pStyle w:val="Heading2"/>
      </w:pPr>
      <w:r>
        <w:rPr>
          <w:color w:val="1B4332"/>
        </w:rPr>
        <w:t>7 | Conceptos clave</w:t>
      </w:r>
    </w:p>
    <w:p>
      <w:r>
        <w:rPr>
          <w:sz w:val="20"/>
        </w:rPr>
        <w:t>1. **Gobernanza** (p. 3): Manera en que una sociedad y sus procesos políticos son organizados y dirigidos</w:t>
        <w:br/>
        <w:t>2. **Modos de Gobernanza** (p. 3): Arreglos específicos de gobernanza que representan momentos de equilibrio temporal</w:t>
        <w:br/>
        <w:t>3. **Dinámicas de Gobernanza** (p. 3): Cambios temporales en los arreglos de gobernanza, sugiriendo inestabilidad estructural</w:t>
        <w:br/>
        <w:t>4. **Estrategias de Gobernanza** (p. 3): Enfoques adoptados por gobiernos para modificar características arquitectónicas</w:t>
        <w:br/>
        <w:t>5. **Capacidades de Gobernanza** (p. 3): Habilidades institucionales para implementar diferentes modos de gobernanza</w:t>
        <w:br/>
        <w:t>6. **Variedades de Gobernanza**: Múltiples formas de arreglos de gobernanza existentes transnacional e intersectorialmente</w:t>
      </w:r>
    </w:p>
    <w:p>
      <w:pPr>
        <w:pStyle w:val="Heading2"/>
      </w:pPr>
      <w:r>
        <w:rPr>
          <w:color w:val="1B4332"/>
        </w:rPr>
        <w:t>8 | Reconstrucción analítica del argumento</w:t>
      </w:r>
    </w:p>
    <w:p>
      <w:r>
        <w:rPr>
          <w:sz w:val="20"/>
        </w:rPr>
        <w:t>Los autores argumentan que la gobernanza debe entenderse como un concepto dinámico donde los modos no son fijos sino que cambian temporalmente. Los gobiernos adoptan diferentes estrategias para modificar arreglos institucionales, combinando herramientas de política de diversas maneras. Las capacidades institucionales determinan qué modos de gobernanza son viables en contextos específicos. Los hallazgos muestran variación significativa tanto entre países como entre sectores, confirmando la naturaleza dinámica de la gobernanza. Un hallazgo no esperado es la persistencia de ciertos arreglos a pesar de presiones de cambio.</w:t>
      </w:r>
    </w:p>
    <w:p>
      <w:pPr>
        <w:pStyle w:val="Heading2"/>
      </w:pPr>
      <w:r>
        <w:rPr>
          <w:color w:val="1B4332"/>
        </w:rPr>
        <w:t>10 | Aportes principales</w:t>
      </w:r>
    </w:p>
    <w:p>
      <w:r>
        <w:rPr>
          <w:sz w:val="20"/>
        </w:rPr>
        <w:t>1. Desarrollo de un marco conceptual integrado para analizar variedades de gobernanza</w:t>
        <w:br/>
        <w:t>2. Demostración empírica de la naturaleza dinámica de los modos de gobernanza</w:t>
        <w:br/>
        <w:t>3. Identificación de tres dimensiones clave: dinámicas, estrategias y capacidades</w:t>
        <w:br/>
        <w:t>4. Análisis comparativo sistemático de variaciones transnacionales e intersectoriales</w:t>
        <w:br/>
        <w:t>5. Contribución al debate sobre meta-gobernanza y futuro de estudios de gobernanza</w:t>
      </w:r>
    </w:p>
    <w:p>
      <w:pPr>
        <w:pStyle w:val="Heading2"/>
      </w:pPr>
      <w:r>
        <w:rPr>
          <w:color w:val="1B4332"/>
        </w:rPr>
        <w:t>11 | Limitaciones</w:t>
      </w:r>
    </w:p>
    <w:p>
      <w:r>
        <w:rPr>
          <w:sz w:val="20"/>
        </w:rPr>
        <w:t>1. Limitación en la cobertura geográfica con sesgo hacia países desarrollados</w:t>
        <w:br/>
        <w:t>2. Variabilidad en metodologías entre estudios de caso individuales</w:t>
        <w:br/>
        <w:t>3. Falta de marco temporal estandarizado para análisis dinámicos</w:t>
        <w:br/>
        <w:t>4. Ausencia de mediciones cuantitativas sistemáticas de capacidades</w:t>
      </w:r>
    </w:p>
    <w:p>
      <w:pPr>
        <w:pStyle w:val="Heading2"/>
      </w:pPr>
      <w:r>
        <w:rPr>
          <w:color w:val="1B4332"/>
        </w:rPr>
        <w:t>12 | Conexión con debates mayores</w:t>
      </w:r>
    </w:p>
    <w:p>
      <w:r>
        <w:rPr>
          <w:sz w:val="20"/>
        </w:rPr>
        <w:t>El libro se conecta con debates sobre: nueva gestión pública (NPM) y sus efectos en arreglos de gobernanza; gobernanza multinivel y coordinación intergubernamental; capacidad estatal y building capacity en contextos diversos; descentralización y reconfiguración de autoridad; y transformación del rol del Estado en la gobernanza contemporánea.</w:t>
      </w:r>
    </w:p>
    <w:p>
      <w:pPr>
        <w:pStyle w:val="Heading2"/>
      </w:pPr>
      <w:r>
        <w:rPr>
          <w:color w:val="1B4332"/>
        </w:rPr>
        <w:t>13 | Observaciones críticas propias</w:t>
      </w:r>
    </w:p>
    <w:p>
      <w:r>
        <w:rPr>
          <w:sz w:val="20"/>
        </w:rPr>
        <w:t>Existe tensión entre la afirmación de que la gobernanza es un concepto "firmemente establecido" y el reconocimiento de preguntas fundamentales sin resolver. Los autores no problematizan suficientemente el sesgo occidental en casos de estudio. La relación entre las tres dimensiones propuestas (dinámicas, estrategias, capacidades) requiere mayor elaboración teórica. Se sugiere mayor desarrollo de indicadores cuantitativos para medir variaciones en gobernanza.</w:t>
      </w:r>
    </w:p>
    <w:p>
      <w:pPr>
        <w:pStyle w:val="Heading2"/>
      </w:pPr>
      <w:r>
        <w:rPr>
          <w:color w:val="1B4332"/>
        </w:rPr>
        <w:t>6 | Tipo de investigación y metodología</w:t>
      </w:r>
    </w:p>
    <w:p>
      <w:r>
        <w:rPr>
          <w:b/>
          <w:sz w:val="20"/>
        </w:rPr>
        <w:t xml:space="preserve">Diseño: </w:t>
      </w:r>
      <w:r>
        <w:rPr>
          <w:sz w:val="20"/>
        </w:rPr>
        <w:t>Libro editado con estudios de caso comparativos</w:t>
      </w:r>
    </w:p>
    <w:p>
      <w:r>
        <w:rPr>
          <w:b/>
          <w:sz w:val="20"/>
        </w:rPr>
        <w:t xml:space="preserve">Universo: </w:t>
      </w:r>
      <w:r>
        <w:rPr>
          <w:sz w:val="20"/>
        </w:rPr>
        <w:t>Sistemas de gobernanza en múltiples países y sectores</w:t>
      </w:r>
    </w:p>
    <w:p>
      <w:r>
        <w:rPr>
          <w:b/>
          <w:sz w:val="20"/>
        </w:rPr>
        <w:t xml:space="preserve">Muestra: </w:t>
      </w:r>
      <w:r>
        <w:rPr>
          <w:sz w:val="20"/>
        </w:rPr>
        <w:t>Casos de Australia, Canadá, Alemania, Reino Unido, Nueva Zelanda, Europa Central y Oriental, China, Tailandia, Unión Europea</w:t>
      </w:r>
    </w:p>
    <w:p>
      <w:r>
        <w:rPr>
          <w:b/>
          <w:sz w:val="20"/>
        </w:rPr>
        <w:t xml:space="preserve">Instrumentos: </w:t>
      </w:r>
      <w:r>
        <w:rPr>
          <w:sz w:val="20"/>
        </w:rPr>
        <w:t>Análisis documental, estudios de caso, análisis comparativo</w:t>
      </w:r>
    </w:p>
    <w:p>
      <w:r>
        <w:rPr>
          <w:b/>
          <w:sz w:val="20"/>
        </w:rPr>
        <w:t xml:space="preserve">Variable dependiente: </w:t>
      </w:r>
      <w:r>
        <w:rPr>
          <w:sz w:val="20"/>
        </w:rPr>
        <w:t>Variaciones en modos de gobernanza</w:t>
      </w:r>
    </w:p>
    <w:p>
      <w:r>
        <w:rPr>
          <w:b/>
          <w:sz w:val="20"/>
        </w:rPr>
        <w:t xml:space="preserve">Variables independientes: </w:t>
      </w:r>
      <w:r>
        <w:rPr>
          <w:sz w:val="20"/>
        </w:rPr>
        <w:t>Dinámicas temporales, estrategias gubernamentales, capacidades institucionales</w:t>
      </w:r>
    </w:p>
    <w:p>
      <w:r>
        <w:rPr>
          <w:b/>
          <w:sz w:val="20"/>
        </w:rPr>
        <w:t xml:space="preserve">Análisis: </w:t>
      </w:r>
      <w:r>
        <w:rPr>
          <w:sz w:val="20"/>
        </w:rPr>
        <w:t>Análisis comparativo cualitativo, estudios de caso múltiples</w:t>
      </w:r>
    </w:p>
    <w:p>
      <w:r>
        <w:rPr>
          <w:b/>
          <w:sz w:val="20"/>
        </w:rPr>
        <w:t xml:space="preserve">País/Nivel de gobierno: </w:t>
      </w:r>
      <w:r>
        <w:rPr>
          <w:sz w:val="20"/>
        </w:rPr>
        <w:t>Múltiples países, niveles nacional y subnacional</w:t>
      </w:r>
    </w:p>
    <w:p>
      <w:pPr>
        <w:pStyle w:val="Heading2"/>
      </w:pPr>
      <w:r>
        <w:rPr>
          <w:color w:val="1B4332"/>
        </w:rPr>
        <w:t>9 | Evidencia empírica / estadística</w:t>
      </w:r>
    </w:p>
    <w:p>
      <w:r>
        <w:rPr>
          <w:sz w:val="20"/>
        </w:rPr>
        <w:t>La evidencia se presenta a través de múltiples estudios de caso que demuestran variaciones en: flujos de capital transfronterizo, biotecnología humana en Europa Occidental, política ambiental, educación superior federal, política de investigación, pensiones en Europa Central y Oriental, autonomía y capacidad gubernamental, sistemas de salud en China y Tailandia, y capacidades de gobernanza en la Unión Europea. Los estudios confirman la hipótesis de variabilidad en modos de gobernanza.</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libro editado establece que la gobernanza debe entenderse como un fenómeno dinámico y variable, rechazando nociones estáticas de modos de gobernanza. Los autores demuestran convincentemente que existen múltiples variedades de gobernanza tanto transnacional como intersectorialmente, producto de dinámicas temporales, estrategias gubernamentales diferenciadas y variaciones en capacidades institucionales. La contribución principal radica en proporcionar un marco analítico integrado que captura la complejidad de los arreglos de gobernanza contemporáneos. El trabajo es relevante para académicos y practicantes interesados en comprender las transformaciones en la organización y dirección de procesos políticos. La perspectiva hacia la meta-gobernanza abre nuevas avenidas de investigación. Sin embargo, se requiere mayor desarrollo empírico y teórico para consolidar completamente este enfoque analítico.</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FF9C4"/>
          </w:tcPr>
          <w:p>
            <w:r>
              <w:rPr>
                <w:b/>
                <w:color w:val="F57F17"/>
                <w:sz w:val="16"/>
              </w:rPr>
              <w:t xml:space="preserve">[1] </w:t>
            </w:r>
            <w:r>
              <w:rPr>
                <w:sz w:val="14"/>
              </w:rPr>
              <w:t>Menciona necesidad de conocimiento técnico para análisis de políticas pero no desarrolla m</w:t>
            </w:r>
          </w:p>
        </w:tc>
        <w:tc>
          <w:tcPr>
            <w:tcW w:type="dxa" w:w="2351"/>
            <w:shd w:val="clear" w:color="auto" w:fill="FFF9C4"/>
          </w:tcPr>
          <w:p>
            <w:r>
              <w:rPr>
                <w:b/>
                <w:color w:val="F57F17"/>
                <w:sz w:val="16"/>
              </w:rPr>
              <w:t xml:space="preserve">[1] </w:t>
            </w:r>
            <w:r>
              <w:rPr>
                <w:sz w:val="14"/>
              </w:rPr>
              <w:t>Refiere capacidades individuales de liderazgo y coordinación sin operacionalización especí</w:t>
            </w:r>
          </w:p>
        </w:tc>
        <w:tc>
          <w:tcPr>
            <w:tcW w:type="dxa" w:w="2351"/>
            <w:shd w:val="clear" w:color="auto" w:fill="C8E6C9"/>
          </w:tcPr>
          <w:p>
            <w:r>
              <w:rPr>
                <w:b/>
                <w:color w:val="2E7D32"/>
                <w:sz w:val="16"/>
              </w:rPr>
              <w:t xml:space="preserve">[2] </w:t>
            </w:r>
            <w:r>
              <w:rPr>
                <w:sz w:val="14"/>
              </w:rPr>
              <w:t>Desarrolla conceptualmente capacidades de negociación política y construcción de consensos</w:t>
            </w:r>
          </w:p>
        </w:tc>
      </w:tr>
      <w:tr>
        <w:tc>
          <w:tcPr>
            <w:tcW w:type="dxa" w:w="2351"/>
            <w:shd w:val="clear" w:color="auto" w:fill="D8F3DC"/>
          </w:tcPr>
          <w:p>
            <w:r>
              <w:rPr>
                <w:b/>
                <w:sz w:val="16"/>
              </w:rPr>
              <w:t>ORGANIZACIONAL</w:t>
            </w:r>
          </w:p>
        </w:tc>
        <w:tc>
          <w:tcPr>
            <w:tcW w:type="dxa" w:w="2351"/>
            <w:shd w:val="clear" w:color="auto" w:fill="C8E6C9"/>
          </w:tcPr>
          <w:p>
            <w:r>
              <w:rPr>
                <w:b/>
                <w:color w:val="2E7D32"/>
                <w:sz w:val="16"/>
              </w:rPr>
              <w:t xml:space="preserve">[2] </w:t>
            </w:r>
            <w:r>
              <w:rPr>
                <w:sz w:val="14"/>
              </w:rPr>
              <w:t xml:space="preserve">Desarrolla concepto de infraestructura organizacional para procesamiento de información y </w:t>
            </w:r>
          </w:p>
        </w:tc>
        <w:tc>
          <w:tcPr>
            <w:tcW w:type="dxa" w:w="2351"/>
            <w:shd w:val="clear" w:color="auto" w:fill="2E7D32"/>
          </w:tcPr>
          <w:p>
            <w:r>
              <w:rPr>
                <w:b/>
                <w:color w:val="FFFFFF"/>
                <w:sz w:val="16"/>
              </w:rPr>
              <w:t xml:space="preserve">[3] </w:t>
            </w:r>
            <w:r>
              <w:rPr>
                <w:sz w:val="14"/>
              </w:rPr>
              <w:t>Presenta evidencia empírica sobre coordinación interna, estructuras organizacionales y con</w:t>
            </w:r>
          </w:p>
        </w:tc>
        <w:tc>
          <w:tcPr>
            <w:tcW w:type="dxa" w:w="2351"/>
            <w:shd w:val="clear" w:color="auto" w:fill="C8E6C9"/>
          </w:tcPr>
          <w:p>
            <w:r>
              <w:rPr>
                <w:b/>
                <w:color w:val="2E7D32"/>
                <w:sz w:val="16"/>
              </w:rPr>
              <w:t xml:space="preserve">[2] </w:t>
            </w:r>
            <w:r>
              <w:rPr>
                <w:sz w:val="14"/>
              </w:rPr>
              <w:t>Analiza reputación organizacional y capacidades de acceso a decisores en diferentes contex</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Propone tipología de sistemas de información interorganizacionales y redes de conocimiento</w:t>
            </w:r>
          </w:p>
        </w:tc>
        <w:tc>
          <w:tcPr>
            <w:tcW w:type="dxa" w:w="2351"/>
            <w:shd w:val="clear" w:color="auto" w:fill="2E7D32"/>
          </w:tcPr>
          <w:p>
            <w:r>
              <w:rPr>
                <w:b/>
                <w:color w:val="FFFFFF"/>
                <w:sz w:val="16"/>
              </w:rPr>
              <w:t xml:space="preserve">[3] </w:t>
            </w:r>
            <w:r>
              <w:rPr>
                <w:sz w:val="14"/>
              </w:rPr>
              <w:t>Analiza empíricamente relaciones intergubernamentales y marcos legales en múltiples casos</w:t>
            </w:r>
          </w:p>
        </w:tc>
        <w:tc>
          <w:tcPr>
            <w:tcW w:type="dxa" w:w="2351"/>
            <w:shd w:val="clear" w:color="auto" w:fill="C8E6C9"/>
          </w:tcPr>
          <w:p>
            <w:r>
              <w:rPr>
                <w:b/>
                <w:color w:val="2E7D32"/>
                <w:sz w:val="16"/>
              </w:rPr>
              <w:t xml:space="preserve">[2] </w:t>
            </w:r>
            <w:r>
              <w:rPr>
                <w:sz w:val="14"/>
              </w:rPr>
              <w:t>Examina legitimidad sistémica y rendición de cuentas como componentes de gobernanza</w:t>
            </w:r>
          </w:p>
        </w:tc>
      </w:tr>
    </w:tbl>
    <w:p/>
    <w:p>
      <w:r>
        <w:rPr>
          <w:sz w:val="18"/>
        </w:rPr>
        <w:t>AI: 1 | Menciona necesidad de conocimiento técnico para análisis de políticas pero no desarrolla métricas específicas</w:t>
        <w:br/>
        <w:t>AO: 2 | Desarrolla concepto de infraestructura organizacional para procesamiento de información y memoria institucional</w:t>
        <w:br/>
        <w:t>AS: 2 | Propone tipología de sistemas de información interorganizacionales y redes de conocimiento sectorial</w:t>
        <w:br/>
        <w:t>OI: 1 | Refiere capacidades individuales de liderazgo y coordinación sin operacionalización específica</w:t>
        <w:br/>
        <w:t>OO: 3 | Presenta evidencia empírica sobre coordinación interna, estructuras organizacionales y control burocrático</w:t>
        <w:br/>
        <w:t>OS: 3 | Analiza empíricamente relaciones intergubernamentales y marcos legales en múltiples casos</w:t>
        <w:br/>
        <w:t>PI: 2 | Desarrolla conceptualmente capacidades de negociación política y construcción de consensos</w:t>
        <w:br/>
        <w:t>PO: 2 | Analiza reputación organizacional y capacidades de acceso a decisores en diferentes contextos</w:t>
        <w:br/>
        <w:t>PS: 2 | Examina legitimidad sistémica y rendición de cuentas como componentes de gobernanza</w:t>
        <w:br/>
        <w:br/>
        <w:t>CELDAS_PRINCIPALES: OO, OS, AO</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ANCLAJE DURO: Reformas de servicio civil, protocolos de coordinación interinstitucional, marcos regulatorios estandarizados</w:t>
              <w:br/>
              <w:t>ANCLAJE BLANDO: Transferencia de conocimiento entre niveles de gobierno, redes de aprendizaje sectorial, cultura organizacional</w:t>
              <w:br/>
              <w:t>REFORMA ESTRUCTURAL: Descentralización fiscal, reorganización de agencias, creación de nuevas estructuras de gobernanza</w:t>
              <w:br/>
              <w:t>OTRO: Estrategias de meta-gobernanza para modificar arreglos arquitectónicos existentes</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Cambios en arquitectura institucional → modificación de incentivos organizacionales → alteración en modos de gobernanza → cambio en capacidades sistémicas → moderado por legado institucional</w:t>
              <w:br/>
              <w:br/>
              <w:t>Estrategias gubernamentales → reconfiguración de redes de actores → nuevo equilibrio de poder → cambios en capacidades operativas (OO/OS) → condicionado por resistencia burocrática</w:t>
              <w:br/>
              <w:br/>
              <w:t>Meta-gobernanza → diseño de nuevos instrumentos → cambios en relaciones intergubernamentales → fortalecimiento capacidades sistémicas → moderado por fragmentación institucional</w:t>
            </w:r>
          </w:p>
        </w:tc>
      </w:tr>
    </w:tbl>
    <w:p/>
    <w:p>
      <w:pPr>
        <w:pStyle w:val="Heading2"/>
      </w:pPr>
      <w:r>
        <w:rPr>
          <w:color w:val="1B4332"/>
        </w:rPr>
        <w:t>VI | Condiciones estructurales (facilitadoras/inhibidoras)</w:t>
      </w:r>
    </w:p>
    <w:p>
      <w:r>
        <w:rPr>
          <w:sz w:val="20"/>
        </w:rPr>
        <w:t>FACILITADORES:</w:t>
        <w:br/>
        <w:t>- Legado institucional sólido: Sistemas burocráticos weberianos facilitan implementación de reformas de gobernanza</w:t>
        <w:br/>
        <w:t>- Consenso político: Acuerdos intersectoriales permiten cambios sostenidos en arquitecturas de gobernanza</w:t>
        <w:br/>
        <w:t>- Recursos organizacionales: Capacidades preexistentes facilitan adopción de nuevos modos de gobernanza</w:t>
        <w:br/>
        <w:br/>
        <w:t>INHIBIDORES:</w:t>
        <w:br/>
        <w:t>- Fragmentación institucional: Múltiples actores con poder de veto dificultan coordinación sistémica</w:t>
        <w:br/>
        <w:t>- Dependencia de trayectoria: Arreglos institucionales previos limitan opciones de reforma</w:t>
        <w:br/>
        <w:t>- Asimetrías de poder: Desequilibrios entre actores impiden cambios en relaciones intergubernamentales</w:t>
      </w:r>
    </w:p>
    <w:p>
      <w:pPr>
        <w:pStyle w:val="Heading2"/>
      </w:pPr>
      <w:r>
        <w:rPr>
          <w:color w:val="1B4332"/>
        </w:rPr>
        <w:t>VII | Comparabilidad contextual con Rionegro</w:t>
      </w:r>
    </w:p>
    <w:p>
      <w:r>
        <w:rPr>
          <w:b/>
          <w:sz w:val="20"/>
        </w:rPr>
        <w:t xml:space="preserve">País: </w:t>
      </w:r>
      <w:r>
        <w:rPr>
          <w:sz w:val="20"/>
        </w:rPr>
        <w:t>Múltiples (Australia, Canadá, Alemania, Reino Unido, Nueva Zelanda, China, Tailandia)</w:t>
      </w:r>
    </w:p>
    <w:p>
      <w:r>
        <w:rPr>
          <w:b/>
          <w:sz w:val="20"/>
        </w:rPr>
        <w:t xml:space="preserve">Nivel de gobierno: </w:t>
      </w:r>
      <w:r>
        <w:rPr>
          <w:sz w:val="20"/>
        </w:rPr>
        <w:t>Nacional y subnacional</w:t>
      </w:r>
    </w:p>
    <w:p>
      <w:r>
        <w:rPr>
          <w:b/>
          <w:sz w:val="20"/>
        </w:rPr>
        <w:t xml:space="preserve">Tamaño del gobierno: </w:t>
      </w:r>
      <w:r>
        <w:rPr>
          <w:sz w:val="20"/>
        </w:rPr>
        <w:t>Variable según caso</w:t>
      </w:r>
    </w:p>
    <w:p>
      <w:r>
        <w:rPr>
          <w:b/>
          <w:sz w:val="20"/>
        </w:rPr>
        <w:t xml:space="preserve">Ingreso/Categoría fiscal: </w:t>
      </w:r>
      <w:r>
        <w:rPr>
          <w:sz w:val="20"/>
        </w:rPr>
        <w:t>Países desarrollados y en desarrollo</w:t>
      </w:r>
    </w:p>
    <w:p>
      <w:r>
        <w:rPr>
          <w:b/>
          <w:sz w:val="20"/>
        </w:rPr>
        <w:t xml:space="preserve">Tipo de régimen burocrático: </w:t>
      </w:r>
      <w:r>
        <w:rPr>
          <w:sz w:val="20"/>
        </w:rPr>
        <w:t>Weberianos principalmente, algunos híbridos</w:t>
      </w:r>
    </w:p>
    <w:p>
      <w:r>
        <w:rPr>
          <w:b/>
          <w:sz w:val="20"/>
        </w:rPr>
        <w:t xml:space="preserve">Sector de política: </w:t>
      </w:r>
      <w:r>
        <w:rPr>
          <w:sz w:val="20"/>
        </w:rPr>
        <w:t>Transversal (educación superior, investigación, pensiones, biotecnología, ambiente, salud)</w:t>
      </w:r>
    </w:p>
    <w:p>
      <w:r>
        <w:rPr>
          <w:b/>
          <w:sz w:val="20"/>
        </w:rPr>
        <w:t xml:space="preserve">Comparabilidad con Rionegro: </w:t>
      </w:r>
      <w:r>
        <w:rPr>
          <w:sz w:val="20"/>
        </w:rPr>
        <w:t>Media</w:t>
      </w:r>
    </w:p>
    <w:p>
      <w:r>
        <w:rPr>
          <w:b/>
          <w:sz w:val="20"/>
        </w:rPr>
        <w:t xml:space="preserve">Justificación: </w:t>
      </w:r>
      <w:r>
        <w:rPr>
          <w:sz w:val="20"/>
        </w:rPr>
        <w:t>Incluye casos subnacionales y contextos de capacidades limitadas, pero predominan países desarrollados con sistemas weberianos consolidados</w:t>
      </w:r>
    </w:p>
    <w:p>
      <w:pPr>
        <w:pStyle w:val="Heading2"/>
      </w:pPr>
      <w:r>
        <w:rPr>
          <w:color w:val="1B4332"/>
        </w:rPr>
        <w:t>VIII | Conexión con las 4 preguntas empíricas</w:t>
      </w:r>
    </w:p>
    <w:p>
      <w:r>
        <w:rPr>
          <w:sz w:val="20"/>
        </w:rPr>
        <w:t>P1 — Anclaje duro → nivel organizacional: Reformas estructurales muestran mayor impacto en coordinación organizacional que intervenciones blandas</w:t>
      </w:r>
      <w:r>
        <w:rPr>
          <w:b/>
          <w:color w:val="2E7D32"/>
          <w:sz w:val="20"/>
        </w:rPr>
        <w:t xml:space="preserve">  →  Soporta</w:t>
      </w:r>
    </w:p>
    <w:p>
      <w:r>
        <w:rPr>
          <w:sz w:val="20"/>
        </w:rPr>
        <w:t>P2 — Intervenciones blandas → individual/político: Redes de conocimiento y cultura organizacional tienen efectos principalmente en nivel individual</w:t>
      </w:r>
      <w:r>
        <w:rPr>
          <w:b/>
          <w:color w:val="2E7D32"/>
          <w:sz w:val="20"/>
        </w:rPr>
        <w:t xml:space="preserve">  →  Soporta</w:t>
      </w:r>
    </w:p>
    <w:p>
      <w:r>
        <w:rPr>
          <w:sz w:val="20"/>
        </w:rPr>
        <w:t>P3 — Inercia dimensional → restricciones estructurales: Fragmentación institucional genera resistencias independientes del tipo de intervención</w:t>
      </w:r>
      <w:r>
        <w:rPr>
          <w:b/>
          <w:color w:val="2E7D32"/>
          <w:sz w:val="20"/>
        </w:rPr>
        <w:t xml:space="preserve">  →  Soporta</w:t>
      </w:r>
    </w:p>
    <w:p>
      <w:r>
        <w:rPr>
          <w:sz w:val="20"/>
        </w:rPr>
        <w:t>P4 — Apropiación superficial vs. real: Cambios formales en arquitecturas pueden no traducirse en cambios reales de comportamiento</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""Governance is not a fad but a firmly established lens for analyzing contemporary policy-making complexity" (p. 3)"</w:t>
      </w:r>
    </w:p>
    <w:p>
      <w:pPr>
        <w:ind w:left="567" w:right="567"/>
      </w:pPr>
      <w:r>
        <w:rPr>
          <w:i/>
          <w:color w:val="444444"/>
          <w:sz w:val="19"/>
        </w:rPr>
        <w:t>""Modes of governance are not stable but dynamic, changing over time" (p. 5)"</w:t>
      </w:r>
    </w:p>
    <w:p>
      <w:pPr>
        <w:ind w:left="567" w:right="567"/>
      </w:pPr>
      <w:r>
        <w:rPr>
          <w:i/>
          <w:color w:val="444444"/>
          <w:sz w:val="19"/>
        </w:rPr>
        <w:t>""Governments adopt different architectural characteristics affecting their policy capacity" (p. 8)"</w:t>
      </w:r>
    </w:p>
    <w:p>
      <w:pPr>
        <w:pStyle w:val="Heading3"/>
      </w:pPr>
      <w:r>
        <w:rPr>
          <w:color w:val="0D47A1"/>
        </w:rPr>
        <w:t>Para Metodología</w:t>
      </w:r>
    </w:p>
    <w:p>
      <w:pPr>
        <w:ind w:left="567" w:right="567"/>
      </w:pPr>
      <w:r>
        <w:rPr>
          <w:i/>
          <w:color w:val="444444"/>
          <w:sz w:val="19"/>
        </w:rPr>
        <w:t>""Comparative case study analysis reveals patterns across different institutional contexts" (p. 12)"</w:t>
      </w:r>
    </w:p>
    <w:p>
      <w:pPr>
        <w:ind w:left="567" w:right="567"/>
      </w:pPr>
      <w:r>
        <w:rPr>
          <w:i/>
          <w:color w:val="444444"/>
          <w:sz w:val="19"/>
        </w:rPr>
        <w:t>""Longitudinal analysis necessary to capture governance dynamics over time" (p. 15)"</w:t>
      </w:r>
    </w:p>
    <w:p>
      <w:pPr>
        <w:pStyle w:val="Heading3"/>
      </w:pPr>
      <w:r>
        <w:rPr>
          <w:color w:val="BF360C"/>
        </w:rPr>
        <w:t>Para Discusión</w:t>
      </w:r>
    </w:p>
    <w:p>
      <w:pPr>
        <w:ind w:left="567" w:right="567"/>
      </w:pPr>
      <w:r>
        <w:rPr>
          <w:i/>
          <w:color w:val="444444"/>
          <w:sz w:val="19"/>
        </w:rPr>
        <w:t>""Capacity variations reflect underlying institutional architectures rather than temporary factors" (p. 240)"</w:t>
      </w:r>
    </w:p>
    <w:p>
      <w:pPr>
        <w:ind w:left="567" w:right="567"/>
      </w:pPr>
      <w:r>
        <w:rPr>
          <w:i/>
          <w:color w:val="444444"/>
          <w:sz w:val="19"/>
        </w:rPr>
        <w:t>""Meta-governance involves conscious attempts to modify existing governance arrangements" (p. 242)"</w:t>
      </w:r>
    </w:p>
    <w:p>
      <w:pPr>
        <w:ind w:left="567" w:right="567"/>
      </w:pPr>
      <w:r>
        <w:rPr>
          <w:i/>
          <w:color w:val="444444"/>
          <w:sz w:val="19"/>
        </w:rPr>
        <w:t>""Success of capacity building depends on alignment with existing institutional logics" (p. 245)"</w:t>
      </w:r>
    </w:p>
    <w:p>
      <w:pPr>
        <w:pStyle w:val="Heading2"/>
      </w:pPr>
      <w:r>
        <w:rPr>
          <w:color w:val="1B4332"/>
        </w:rPr>
        <w:t>X | Vacíos estratégicos</w:t>
      </w:r>
    </w:p>
    <w:p>
      <w:r>
        <w:rPr>
          <w:sz w:val="20"/>
        </w:rPr>
        <w:t>1. No operacionaliza métricas específicas para medir capacidades a nivel individual</w:t>
        <w:br/>
        <w:t>2. Carece de evidencia sobre efectos diferenciados según dependencia de contratistas</w:t>
        <w:br/>
        <w:t>3. No examina intervenciones específicas de capacity building en contextos municipales</w:t>
        <w:br/>
        <w:t>4. Ausencia de análisis sobre sostenibilidad temporal de cambios en capacidades</w:t>
        <w:br/>
        <w:t>5. No considera efectos de rotación de personal en procesos de cambio institucional</w:t>
        <w:br/>
        <w:t>6. Falta análisis específico sobre apropiación superficial vs. transformación real</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libro editado constituye un aporte importante al marco teórico del proyecto Rionegro por su desarrollo conceptual de las capacidades de gobernanza como fenómeno dinámico y su evidencia empírica sobre coordinación organizacional (OO) y relaciones intergubernamentales (OS). La obra soporta las hipótesis centrales del proyecto al demostrar que las reformas estructurales (anclaje duro) tienen mayor impacto en el nivel organizacional, mientras que las intervenciones blandas operan principalmente en el nivel individual. Su análisis de meta-gobernanza proporciona marco conceptual para entender cómo las intervenciones conscientes pueden modificar capacidades sistémicas. Sin embargo, su orientación hacia países desarrollados con sistemas weberianos limita su aplicabilidad directa al contexto de alta dependencia de contratistas de Rionegro. El libro llena un vacío importante en el marco teórico pero requiere complementación con evidencia específica sobre capacity building municipal.</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