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Cárdenas, M. (2010). State capacity in Latin America. *Economía*, 10(2), 1-45.</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Cárdenas, M. (2010). State capacity in Latin America. *Economía*, 10(2), 1-45.</w:t>
      </w:r>
    </w:p>
    <w:p>
      <w:pPr>
        <w:pStyle w:val="Heading2"/>
      </w:pPr>
      <w:r>
        <w:rPr>
          <w:color w:val="1B4332"/>
        </w:rPr>
        <w:t>2 | Objetivo explícito del autor</w:t>
      </w:r>
    </w:p>
    <w:p>
      <w:r>
        <w:rPr>
          <w:sz w:val="20"/>
        </w:rPr>
        <w:t>El estudio busca analizar los determinantes de la capacidad estatal en América Latina, específicamente examinando por qué la región presenta una capacidad estatal particularmente débil comparada con otras experiencias de desarrollo más exitosas. El autor se enfoca en la dimensión fiscal de la capacidad estatal y su relación con la concentración de poder económico y político.</w:t>
      </w:r>
    </w:p>
    <w:p>
      <w:pPr>
        <w:ind w:left="567" w:right="567"/>
      </w:pPr>
      <w:r>
        <w:rPr>
          <w:i/>
          <w:color w:val="444444"/>
          <w:sz w:val="19"/>
        </w:rPr>
        <w:t>""this paper deals with the more basic question of what drives state capacity" (p. 1)"</w:t>
      </w:r>
    </w:p>
    <w:p>
      <w:pPr>
        <w:pStyle w:val="Heading2"/>
      </w:pPr>
      <w:r>
        <w:rPr>
          <w:color w:val="1B4332"/>
        </w:rPr>
        <w:t>3 | Pregunta de investigación</w:t>
      </w:r>
    </w:p>
    <w:p>
      <w:pPr>
        <w:ind w:left="567" w:right="567"/>
      </w:pPr>
      <w:r>
        <w:rPr>
          <w:i/>
          <w:color w:val="444444"/>
          <w:sz w:val="19"/>
        </w:rPr>
        <w:t>"¿Qué factores determinan la capacidad estatal en América Latina y por qué la región presenta niveles particularmente bajos de capacidad fiscal y legal comparada con otras regiones?"</w:t>
      </w:r>
    </w:p>
    <w:p>
      <w:pPr>
        <w:pStyle w:val="Heading2"/>
      </w:pPr>
      <w:r>
        <w:rPr>
          <w:color w:val="1B4332"/>
        </w:rPr>
        <w:t>4 | Tesis central</w:t>
      </w:r>
    </w:p>
    <w:p>
      <w:r>
        <w:rPr>
          <w:sz w:val="20"/>
        </w:rPr>
        <w:t>La capacidad estatal fiscal se encuentra atrofiada en América Latina como resultado de la alta concentración de poder económico y político. Cuando el grupo que toma las decisiones tiene mucho más ingreso y poder político que el resto de la población, existen menores incentivos para invertir en capacidad estatal. El miedo a perder poder en el futuro y la posibilidad de que la capacidad estatal termine en manos de la oposición constituye otro elemento disuasorio que lleva a la subinversión en capacidad estatal.</w:t>
      </w:r>
    </w:p>
    <w:p>
      <w:pPr>
        <w:ind w:left="567" w:right="567"/>
      </w:pPr>
      <w:r>
        <w:rPr>
          <w:i/>
          <w:color w:val="444444"/>
          <w:sz w:val="19"/>
        </w:rPr>
        <w:t>""fiscal state capacity is stunted in Latin America as a result of the high concentration of economic and political power" (p. 2)"</w:t>
      </w:r>
    </w:p>
    <w:p>
      <w:pPr>
        <w:pStyle w:val="Heading2"/>
      </w:pPr>
      <w:r>
        <w:rPr>
          <w:color w:val="1B4332"/>
        </w:rPr>
        <w:t>5 | Marco teórico utilizado</w:t>
      </w:r>
    </w:p>
    <w:p>
      <w:r>
        <w:rPr>
          <w:sz w:val="20"/>
        </w:rPr>
        <w:t>1. **Teoría de capacidad estatal fiscal**: Basada en Besley y Persson, enfatiza la capacidad del estado para recaudar ingresos de la población</w:t>
        <w:br/>
        <w:t>2. **Enfoque belicista del desarrollo estatal**: Argumenta que las sociedades que se involucran en conflictos externos tienen mayor probabilidad de construir su aparato estatal</w:t>
        <w:br/>
        <w:t>3. **Teoría de instituciones contractuales**: Utilizando la terminología de Acemoglu y Johnson sobre instituciones de contratos privados y derechos de propiedad</w:t>
        <w:br/>
        <w:t>4. **Teoría de desigualdad política y económica**: Marco que vincula la concentración de poder con la inversión en capacidad estatal</w:t>
      </w:r>
    </w:p>
    <w:p>
      <w:pPr>
        <w:pStyle w:val="Heading2"/>
      </w:pPr>
      <w:r>
        <w:rPr>
          <w:color w:val="1B4332"/>
        </w:rPr>
        <w:t>7 | Conceptos clave</w:t>
      </w:r>
    </w:p>
    <w:p>
      <w:r>
        <w:rPr>
          <w:sz w:val="20"/>
        </w:rPr>
        <w:t>1. **Capacidad estatal fiscal**: "the state's capacity to raise revenues from the population (including the ability to tax incomes)" (p. 1-2)</w:t>
        <w:br/>
        <w:t>2. **Capacidad estatal legal**: "encompasses what is now known as 'contracting institutions' and 'property rights institutions'" (p. 1)</w:t>
        <w:br/>
        <w:t>3. **Capacidad militar**: "the state's ability to overcome the rebellious actions against its authority with force" (p. 3)</w:t>
        <w:br/>
        <w:t>4. **Capacidad burocrática y administrativa**: "focuses on the professionalization of the state bureaucracy and its ability to provide legal protection" (p. 3)</w:t>
        <w:br/>
        <w:t>5. **Desigualdad política**: Concentración del poder político en grupos específicos que afecta las decisiones de inversión en capacidad estatal</w:t>
        <w:br/>
        <w:t>6. **Riesgo de expropiación**: Medida de protección contra "outright confiscation and forced nationalization" que varía de 0 a 10 (p. 4)</w:t>
      </w:r>
    </w:p>
    <w:p>
      <w:pPr>
        <w:pStyle w:val="Heading2"/>
      </w:pPr>
      <w:r>
        <w:rPr>
          <w:color w:val="1B4332"/>
        </w:rPr>
        <w:t>8 | Reconstrucción analítica del argumento</w:t>
      </w:r>
    </w:p>
    <w:p>
      <w:r>
        <w:rPr>
          <w:sz w:val="20"/>
        </w:rPr>
        <w:t>La hipótesis central plantea que la alta concentración de poder económico y político reduce los incentivos para invertir en capacidad estatal. Los resultados muestran que la desigualdad política constituye un obstáculo mayor para el desarrollo de capacidad estatal. El mecanismo causal opera a través de los costos (sacrificar consumo presente) versus beneficios (provisión futura de bienes públicos o redistribución). Los conflictos externos históricamente aumentaron la capacidad estatal, pero este efecto se desvanece en períodos recientes, mientras que los conflictos internos la destruyen sistemáticamente.</w:t>
      </w:r>
    </w:p>
    <w:p>
      <w:pPr>
        <w:pStyle w:val="Heading2"/>
      </w:pPr>
      <w:r>
        <w:rPr>
          <w:color w:val="1B4332"/>
        </w:rPr>
        <w:t>10 | Aportes principales</w:t>
      </w:r>
    </w:p>
    <w:p>
      <w:r>
        <w:rPr>
          <w:sz w:val="20"/>
        </w:rPr>
        <w:t>1. Formalización de los canales específicos que vinculan la desigualdad con la capacidad estatal mediante desarrollo de modelo teórico</w:t>
        <w:br/>
        <w:t>2. Evidencia empírica comprensiva usando ocho medidas diferentes de capacidad estatal fiscal y legal</w:t>
        <w:br/>
        <w:t>3. Demostración de que América Latina presenta capacidad estatal sistemáticamente más débil que otras regiones</w:t>
        <w:br/>
        <w:t>4. Análisis diferenciado del impacto de conflictos externos versus internos en la capacidad estatal</w:t>
        <w:br/>
        <w:t>5. Integración de perspectivas económicas y politológicas en el análisis de capacidad estatal</w:t>
      </w:r>
    </w:p>
    <w:p>
      <w:pPr>
        <w:pStyle w:val="Heading2"/>
      </w:pPr>
      <w:r>
        <w:rPr>
          <w:color w:val="1B4332"/>
        </w:rPr>
        <w:t>11 | Limitaciones</w:t>
      </w:r>
    </w:p>
    <w:p>
      <w:r>
        <w:rPr>
          <w:sz w:val="20"/>
        </w:rPr>
        <w:t>1. Reconoce que todas las medidas de capacidad estatal son altamente colineales y endógenas</w:t>
        <w:br/>
        <w:t>2. Limitaciones en la disponibilidad de datos, especialmente para el análisis histórico de largo plazo</w:t>
        <w:br/>
        <w:t>3. Exclusión de México y Brasil en algunas bases de datos principales requirió complementación con fuentes alternativas</w:t>
        <w:br/>
        <w:t>4. Las medidas subjetivas de capacidad dependen de evaluaciones de expertos que pueden introducir sesgos</w:t>
      </w:r>
    </w:p>
    <w:p>
      <w:pPr>
        <w:pStyle w:val="Heading2"/>
      </w:pPr>
      <w:r>
        <w:rPr>
          <w:color w:val="1B4332"/>
        </w:rPr>
        <w:t>12 | Conexión con debates mayores</w:t>
      </w:r>
    </w:p>
    <w:p>
      <w:r>
        <w:rPr>
          <w:sz w:val="20"/>
        </w:rPr>
        <w:t>El artículo se conecta centralmente con el debate sobre state capacity en la literatura de desarrollo, particularmente la discusión entre activismo estatal versus liberalización de mercados. Contribuye al debate sobre capacity building al identificar obstáculos estructurales para la inversión en capacidad. Se relaciona con la literatura de gobernanza al examinar la calidad institucional y la efectividad gubernamental. Dialoga indirectamente con enfoques de gobernanza multinivel al analizar la capacidad de implementar políticas a nivel nacional.</w:t>
      </w:r>
    </w:p>
    <w:p>
      <w:pPr>
        <w:pStyle w:val="Heading2"/>
      </w:pPr>
      <w:r>
        <w:rPr>
          <w:color w:val="1B4332"/>
        </w:rPr>
        <w:t>13 | Observaciones críticas propias</w:t>
      </w:r>
    </w:p>
    <w:p>
      <w:r>
        <w:rPr>
          <w:sz w:val="20"/>
        </w:rPr>
        <w:t>El estudio presenta una tensión no completamente resuelta entre el enfoque en desigualdad como determinante estructural y las recomendaciones implícitas de política. Los supuestos sobre racionalidad de actores políticos podrían ser más problematizados considerando dinámicas de clientelismo y captura regulatoria prevalentes en la región. La extensión del análisis podría beneficiarse de examinar variaciones subnacionales dentro de países latinoamericanos y de incorporar más sistemáticamente factores histórico-institucionales específicos de cada país.</w:t>
      </w:r>
    </w:p>
    <w:p>
      <w:pPr>
        <w:pStyle w:val="Heading2"/>
      </w:pPr>
      <w:r>
        <w:rPr>
          <w:color w:val="1B4332"/>
        </w:rPr>
        <w:t>6 | Tipo de investigación y metodología</w:t>
      </w:r>
    </w:p>
    <w:p>
      <w:r>
        <w:rPr>
          <w:b/>
          <w:sz w:val="20"/>
        </w:rPr>
        <w:t xml:space="preserve">Diseño: </w:t>
      </w:r>
      <w:r>
        <w:rPr>
          <w:sz w:val="20"/>
        </w:rPr>
        <w:t>Estudio cuantitativo comparativo con desarrollo de modelo teórico y análisis econométrico</w:t>
      </w:r>
    </w:p>
    <w:p>
      <w:r>
        <w:rPr>
          <w:b/>
          <w:sz w:val="20"/>
        </w:rPr>
        <w:t xml:space="preserve">Universo: </w:t>
      </w:r>
      <w:r>
        <w:rPr>
          <w:sz w:val="20"/>
        </w:rPr>
        <w:t>Países a nivel mundial con datos disponibles</w:t>
      </w:r>
    </w:p>
    <w:p>
      <w:r>
        <w:rPr>
          <w:b/>
          <w:sz w:val="20"/>
        </w:rPr>
        <w:t xml:space="preserve">Muestra: </w:t>
      </w:r>
      <w:r>
        <w:rPr>
          <w:sz w:val="20"/>
        </w:rPr>
        <w:t>127-210 países dependiendo de la medida (período 1975-2008)</w:t>
      </w:r>
    </w:p>
    <w:p>
      <w:r>
        <w:rPr>
          <w:b/>
          <w:sz w:val="20"/>
        </w:rPr>
        <w:t xml:space="preserve">Instrumentos: </w:t>
      </w:r>
      <w:r>
        <w:rPr>
          <w:sz w:val="20"/>
        </w:rPr>
        <w:t>Bases de datos secundarias (GFS, IMF, World Bank, ICRG, Columbia University State Capacity Survey)</w:t>
      </w:r>
    </w:p>
    <w:p>
      <w:r>
        <w:rPr>
          <w:b/>
          <w:sz w:val="20"/>
        </w:rPr>
        <w:t xml:space="preserve">Variable dependiente: </w:t>
      </w:r>
      <w:r>
        <w:rPr>
          <w:sz w:val="20"/>
        </w:rPr>
        <w:t>Ocho medidas de capacidad estatal (fiscal y legal)</w:t>
      </w:r>
    </w:p>
    <w:p>
      <w:r>
        <w:rPr>
          <w:b/>
          <w:sz w:val="20"/>
        </w:rPr>
        <w:t xml:space="preserve">Variables independientes: </w:t>
      </w:r>
      <w:r>
        <w:rPr>
          <w:sz w:val="20"/>
        </w:rPr>
        <w:t>Desigualdad política, desigualdad económica, conflictos externos e internos</w:t>
      </w:r>
    </w:p>
    <w:p>
      <w:r>
        <w:rPr>
          <w:b/>
          <w:sz w:val="20"/>
        </w:rPr>
        <w:t xml:space="preserve">Análisis: </w:t>
      </w:r>
      <w:r>
        <w:rPr>
          <w:sz w:val="20"/>
        </w:rPr>
        <w:t>Regresiones OLS, análisis factorial</w:t>
      </w:r>
    </w:p>
    <w:p>
      <w:r>
        <w:rPr>
          <w:b/>
          <w:sz w:val="20"/>
        </w:rPr>
        <w:t xml:space="preserve">País/Nivel de gobierno: </w:t>
      </w:r>
      <w:r>
        <w:rPr>
          <w:sz w:val="20"/>
        </w:rPr>
        <w:t>Nivel nacional, análisis comparativo regional</w:t>
      </w:r>
    </w:p>
    <w:p>
      <w:pPr>
        <w:pStyle w:val="Heading2"/>
      </w:pPr>
      <w:r>
        <w:rPr>
          <w:color w:val="1B4332"/>
        </w:rPr>
        <w:t>9 | Evidencia empírica / estadística</w:t>
      </w:r>
    </w:p>
    <w:p>
      <w:r>
        <w:rPr>
          <w:sz w:val="20"/>
        </w:rPr>
        <w:t>América Latina presenta niveles significativamente menores de impuestos totales (8.8 puntos porcentuales) e impuestos sobre ingresos (6.5 puntos porcentuales) comparado con el resto del mundo. La región también muestra menores niveles de protección contra riesgo de expropiación y gobiernos menos efectivos. El análisis factorial de Hendrix confirma que la calidad burocrática y la participación de impuestos en el PIB explican 90.6% de la varianza en todas las medidas de capacidad estatal consideradas.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Cárdenas presenta un argumento convincente sobre cómo la concentración de poder económico y político genera subinversión sistemática en capacidad estatal en América Latina. Su contribución principal radica en formalizar teóricamente y validar empíricamente los mecanismos específicos que perpetúan la debilidad estatal regional. El análisis demuestra que, contrario a debates ideológicos sobre el rol del estado, el problema fundamental es la falta de capacidad básica para cumplir funciones esenciales. Los hallazgos tienen implicaciones importantes para estrategias de desarrollo que requieren capacidades estatales robustas. La investigación abre agendas futuras sobre cómo romper los círculos viciosos entre desigualdad y debilidad institucional. El trabajo constituye una referencia fundamental para comprender los desafíos estructurales de construcción estatal en contextos de alta desigualdad. Su relevancia trasciende América Latina al ofrecer insights sobre determinantes universales de capacidad estatal en países en desarrollo.</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