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332"/>
          <w:sz w:val="28"/>
        </w:rPr>
        <w:t>FICHA DE LECTURA — CAPACIDADES DE POLÍTICA PÚBLICA</w:t>
      </w:r>
    </w:p>
    <w:p>
      <w:pPr>
        <w:jc w:val="center"/>
      </w:pPr>
      <w:r>
        <w:rPr>
          <w:i/>
          <w:color w:val="666666"/>
          <w:sz w:val="20"/>
        </w:rPr>
        <w:t>Proyecto: Medición de capacidades — Municipio de Rionegro, Antioquia</w:t>
      </w:r>
    </w:p>
    <w:p>
      <w:pPr>
        <w:jc w:val="center"/>
      </w:pPr>
      <w:r>
        <w:rPr>
          <w:i/>
          <w:sz w:val="22"/>
        </w:rPr>
        <w:t>Craft, J., Howlett, M., Crawford, M., &amp; McNutt, K. (2013). Assessing policy capacity for climate change adaptation: Governance arrangements, resource deployments, and analytical skills in Canadian infrastructure policy making. Review of Policy Research, 30(1), 42-65.</w:t>
      </w:r>
    </w:p>
    <w:p>
      <w:pPr>
        <w:jc w:val="center"/>
      </w:pPr>
      <w:r>
        <w:rPr>
          <w:b/>
          <w:color w:val="E65100"/>
          <w:sz w:val="22"/>
        </w:rPr>
        <w:t>● IMPORTANTE ● Puntaje matriz: 18/27</w:t>
      </w:r>
    </w:p>
    <w:p/>
    <w:p>
      <w:pPr>
        <w:pStyle w:val="Heading1"/>
      </w:pPr>
      <w:r>
        <w:rPr>
          <w:color w:val="1B4332"/>
        </w:rPr>
        <w:t>PARTE I — FICHA GENÉRICA DEL ARTÍCULO</w:t>
      </w:r>
    </w:p>
    <w:p>
      <w:pPr>
        <w:pStyle w:val="Heading2"/>
      </w:pPr>
      <w:r>
        <w:rPr>
          <w:color w:val="1B4332"/>
        </w:rPr>
        <w:t>1 | Referencia bibliográfica (APA 7)</w:t>
      </w:r>
    </w:p>
    <w:p>
      <w:r>
        <w:rPr>
          <w:sz w:val="20"/>
        </w:rPr>
        <w:t>Craft, J., Howlett, M., Crawford, M., &amp; McNutt, K. (2013). Assessing policy capacity for climate change adaptation: Governance arrangements, resource deployments, and analytical skills in Canadian infrastructure policy making. Review of Policy Research, 30(1), 42-65.</w:t>
      </w:r>
    </w:p>
    <w:p>
      <w:pPr>
        <w:pStyle w:val="Heading2"/>
      </w:pPr>
      <w:r>
        <w:rPr>
          <w:color w:val="1B4332"/>
        </w:rPr>
        <w:t>2 | Objetivo explícito del autor</w:t>
      </w:r>
    </w:p>
    <w:p>
      <w:r>
        <w:rPr>
          <w:sz w:val="20"/>
        </w:rPr>
        <w:t>El estudio examina la capacidad del sector de políticas de infraestructura para responder a la adaptación al cambio climático a través del análisis del caso canadiense. Utiliza un examen de tres niveles de capacidad: macro (análisis de redes virtuales de política), meso (mandato y recursos del departamento líder) y micro (análisis de datos de encuesta sobre tareas y actitudes de trabajadores departamentales).</w:t>
      </w:r>
    </w:p>
    <w:p>
      <w:pPr>
        <w:ind w:left="567" w:right="567"/>
      </w:pPr>
      <w:r>
        <w:rPr>
          <w:i/>
          <w:color w:val="444444"/>
          <w:sz w:val="19"/>
        </w:rPr>
        <w:t>""This article examines the infrastructure policy sector's capacity to respond to climate change adaptation through an analysis of the Canadian case" (p. 42)."</w:t>
      </w:r>
    </w:p>
    <w:p>
      <w:pPr>
        <w:pStyle w:val="Heading2"/>
      </w:pPr>
      <w:r>
        <w:rPr>
          <w:color w:val="1B4332"/>
        </w:rPr>
        <w:t>3 | Pregunta de investigación</w:t>
      </w:r>
    </w:p>
    <w:p>
      <w:pPr>
        <w:ind w:left="567" w:right="567"/>
      </w:pPr>
      <w:r>
        <w:rPr>
          <w:i/>
          <w:color w:val="444444"/>
          <w:sz w:val="19"/>
        </w:rPr>
        <w:t>"¿Tiene el sector de políticas de infraestructura en Canadá la capacidad necesaria para responder a los crecientes desafíos de adaptación al cambio climático a través de sus arreglos de gobernanza, despliegue de recursos y habilidades analíticas?"</w:t>
      </w:r>
    </w:p>
    <w:p>
      <w:pPr>
        <w:pStyle w:val="Heading2"/>
      </w:pPr>
      <w:r>
        <w:rPr>
          <w:color w:val="1B4332"/>
        </w:rPr>
        <w:t>4 | Tesis central</w:t>
      </w:r>
    </w:p>
    <w:p>
      <w:r>
        <w:rPr>
          <w:sz w:val="20"/>
        </w:rPr>
        <w:t>La capacidad de política en el sector de infraestructura canadiense será incapaz de satisfacer las demandas impuestas por el sector para responder a los crecientes desafíos de adaptación al cambio climático. A pesar de que las redes de política muestran mayor densidad y centralización, y los mandatos departamentales se han ampliado, existe una brecha significativa entre los recursos disponibles y las necesidades requeridas. Los trabajadores del sector infraestructura muestran menores niveles de preocupación sobre cambio climático comparado con sectores basados en recursos naturales.</w:t>
      </w:r>
    </w:p>
    <w:p>
      <w:pPr>
        <w:ind w:left="567" w:right="567"/>
      </w:pPr>
      <w:r>
        <w:rPr>
          <w:i/>
          <w:color w:val="444444"/>
          <w:sz w:val="19"/>
        </w:rPr>
        <w:t>""The policy capacity in the Canadian infrastructure sector will be unable to meet the demands placed upon the sector" (p. 42)."</w:t>
      </w:r>
    </w:p>
    <w:p>
      <w:pPr>
        <w:pStyle w:val="Heading2"/>
      </w:pPr>
      <w:r>
        <w:rPr>
          <w:color w:val="1B4332"/>
        </w:rPr>
        <w:t>5 | Marco teórico utilizado</w:t>
      </w:r>
    </w:p>
    <w:p>
      <w:r>
        <w:rPr>
          <w:sz w:val="20"/>
        </w:rPr>
        <w:t>1. **Capacidad de política multinivel**: Concepto multifacético que se extiende sobre tres niveles (subsistema, organizacional y micro-comportamental)</w:t>
        <w:br/>
        <w:t>2. **Teoría de redes de política**: Análisis de patrones relacionales y estructuras de gobernanza en línea</w:t>
        <w:br/>
        <w:t>3. **Teoría organizacional**: Axiomas sobre estructura organizacional y comportamiento relacionados con mandatos y recursos</w:t>
        <w:br/>
        <w:t>4. **Análisis de capacidad gubernamental**: Marco para evaluar la habilidad gubernamental para adaptarse a presiones del cambio climático</w:t>
        <w:br/>
        <w:t>*Nota: No utiliza explícitamente el PCF de Wu et al., pero desarrolla un marco propio de capacidad multinivel*</w:t>
      </w:r>
    </w:p>
    <w:p>
      <w:pPr>
        <w:pStyle w:val="Heading2"/>
      </w:pPr>
      <w:r>
        <w:rPr>
          <w:color w:val="1B4332"/>
        </w:rPr>
        <w:t>7 | Conceptos clave</w:t>
      </w:r>
    </w:p>
    <w:p>
      <w:r>
        <w:rPr>
          <w:sz w:val="20"/>
        </w:rPr>
        <w:t>1. **Capacidad de política** (p. 42): Concepto multifacético que se extiende sobre al menos tres niveles: subsistema, organizacional y micro-comportamental de trabajadores de política</w:t>
        <w:br/>
        <w:t>2. **Redes virtuales de política** (p. 44): Patrones relacionales en línea de comunidades de política habilitadas por web que emergen cuando un actor de política publica hiperenlaces a sitios web con contenido de política relevante</w:t>
        <w:br/>
        <w:t>3. **Densidad de red** (p. 44): Medida estructural que indica el nivel de interconexión entre actores en una red de política</w:t>
        <w:br/>
        <w:t>4. **Centralización** (p. 44): Medida que indica el grado en que la red se organiza alrededor de actores centrales</w:t>
        <w:br/>
        <w:t>5. **Nodalidad** (p. 44): Herramienta clave del gobierno usada para detectar información disponible en la red y efectuar comportamiento a través de coordinación</w:t>
        <w:br/>
        <w:t>6. **Mandato departamental** (p. 48): Scope y precisión de las responsabilidades y actividades asignadas a una organización gubernamental</w:t>
      </w:r>
    </w:p>
    <w:p>
      <w:pPr>
        <w:pStyle w:val="Heading2"/>
      </w:pPr>
      <w:r>
        <w:rPr>
          <w:color w:val="1B4332"/>
        </w:rPr>
        <w:t>8 | Reconstrucción analítica del argumento</w:t>
      </w:r>
    </w:p>
    <w:p>
      <w:r>
        <w:rPr>
          <w:sz w:val="20"/>
        </w:rPr>
        <w:t>**Hipótesis**: (H1) La red de política de infraestructura incrementará en densidad y centralización; (H2) La adaptación al cambio climático forzará el ensanchamiento de mandatos departamentales; (H3) El incremento de mandatos requerirá más recursos para retener capacidad existente; (H4) El sector infraestructura tendrá menores niveles de preocupación sobre cambio climático que sectores basados en recursos naturales. **Resultados**: Se confirman H1, H2 y H4, pero H3 muestra brechas significativas entre mandatos expandidos y recursos disponibles. **Mecanismo causal**: La presión por adaptación climática genera nuevos actores en redes, expande mandatos organizacionales, pero no garantiza recursos proporcionales, creando déficits de capacidad. **Hallazgos inesperados**: El gobierno federal muestra liderazgo dominante en infraestructura pese a ser tradicionalmente más débil en política ambiental.</w:t>
      </w:r>
    </w:p>
    <w:p>
      <w:pPr>
        <w:pStyle w:val="Heading2"/>
      </w:pPr>
      <w:r>
        <w:rPr>
          <w:color w:val="1B4332"/>
        </w:rPr>
        <w:t>10 | Aportes principales</w:t>
      </w:r>
    </w:p>
    <w:p>
      <w:r>
        <w:rPr>
          <w:sz w:val="20"/>
        </w:rPr>
        <w:t>1. **Marco analítico multinivel**: Desarrolla metodología innovadora combinando análisis de redes virtuales, análisis organizacional y survey micro-comportamental para evaluar capacidad de política</w:t>
        <w:br/>
        <w:t>2. **Evidencia empírica sobre déficits de capacidad**: Demuestra cuantitativamente la brecha entre expansión de mandatos y disponibilidad de recursos en adaptación climática</w:t>
        <w:br/>
        <w:t>3. **Insights sobre gobernanza multinivel**: Revela dinámicas complejas entre niveles federal, provincial y municipal en política de infraestructura</w:t>
        <w:br/>
        <w:t>4. **Aplicación metodológica de redes virtuales**: Pionero en uso de análisis de hiperenlaces para estudiar evolución de redes de política en tiempo real</w:t>
      </w:r>
    </w:p>
    <w:p>
      <w:pPr>
        <w:pStyle w:val="Heading2"/>
      </w:pPr>
      <w:r>
        <w:rPr>
          <w:color w:val="1B4332"/>
        </w:rPr>
        <w:t>11 | Limitaciones</w:t>
      </w:r>
    </w:p>
    <w:p>
      <w:r>
        <w:rPr>
          <w:sz w:val="20"/>
        </w:rPr>
        <w:t>1. **Alcance temporal limitado**: El análisis de redes virtuales cubre solo un período de un año (2010-2011)</w:t>
        <w:br/>
        <w:t>2. **Sesgo sectorial**: Se enfoca únicamente en el sector infraestructura sin comparación sistemática con otros sectores</w:t>
        <w:br/>
        <w:t>3. **Limitaciones de la encuesta**: Tasa de respuesta del 43.3% puede introducir sesgos de auto-selección</w:t>
        <w:br/>
        <w:t>4. **Análisis superficial de causalidad**: No profundiza en mecanismos causales específicos que vinculan estructura de red con capacidad</w:t>
      </w:r>
    </w:p>
    <w:p>
      <w:pPr>
        <w:pStyle w:val="Heading2"/>
      </w:pPr>
      <w:r>
        <w:rPr>
          <w:color w:val="1B4332"/>
        </w:rPr>
        <w:t>12 | Conexión con debates mayores</w:t>
      </w:r>
    </w:p>
    <w:p>
      <w:r>
        <w:rPr>
          <w:sz w:val="20"/>
        </w:rPr>
        <w:t>El estudio se conecta centralmente con debates sobre **state capacity** y **capacity building** al demostrar brechas entre demandas institucionales y recursos disponibles. Contribuye al debate sobre **gobernanza multinivel** mostrando dinámicas complejas federal-provincial-municipal. Se relaciona con literatura de **Nueva Gestión Pública** al analizar transformaciones organizacionales y mandatos departamentales. Aporta al debate sobre **descentralización** revelando patrones inesperados de dominancia federal en infraestructura pese a debilidad tradicional en política ambiental.</w:t>
      </w:r>
    </w:p>
    <w:p>
      <w:pPr>
        <w:pStyle w:val="Heading2"/>
      </w:pPr>
      <w:r>
        <w:rPr>
          <w:color w:val="1B4332"/>
        </w:rPr>
        <w:t>13 | Observaciones críticas propias</w:t>
      </w:r>
    </w:p>
    <w:p>
      <w:r>
        <w:rPr>
          <w:sz w:val="20"/>
        </w:rPr>
        <w:t>El estudio presenta tensiones no resueltas entre la evidencia de incremento en recursos financieros y personal versus la conclusión de déficit de capacidad. Los autores no problematizan suficientemente la relación entre capacidad cuantitativa (recursos) y cualitativa (habilidades especializadas). La metodología podría beneficiarse de análisis longitudinal más extenso y comparación intersectorial sistemática. Se sugiere extensión hacia análisis de efectividad de política y outcomes de adaptación climática, no solo inputs y procesos.</w:t>
      </w:r>
    </w:p>
    <w:p>
      <w:pPr>
        <w:pStyle w:val="Heading2"/>
      </w:pPr>
      <w:r>
        <w:rPr>
          <w:color w:val="1B4332"/>
        </w:rPr>
        <w:t>6 | Tipo de investigación y metodología</w:t>
      </w:r>
    </w:p>
    <w:p>
      <w:r>
        <w:rPr>
          <w:b/>
          <w:sz w:val="20"/>
        </w:rPr>
        <w:t xml:space="preserve">Diseño: </w:t>
      </w:r>
      <w:r>
        <w:rPr>
          <w:sz w:val="20"/>
        </w:rPr>
        <w:t>Método mixto con análisis de tres niveles</w:t>
      </w:r>
    </w:p>
    <w:p>
      <w:r>
        <w:rPr>
          <w:b/>
          <w:sz w:val="20"/>
        </w:rPr>
        <w:t xml:space="preserve">Universo: </w:t>
      </w:r>
      <w:r>
        <w:rPr>
          <w:sz w:val="20"/>
        </w:rPr>
        <w:t>Sector de políticas de infraestructura canadiense (federal, provincial y territorial)</w:t>
      </w:r>
    </w:p>
    <w:p>
      <w:r>
        <w:rPr>
          <w:b/>
          <w:sz w:val="20"/>
        </w:rPr>
        <w:t xml:space="preserve">Muestra: </w:t>
      </w:r>
      <w:r>
        <w:rPr>
          <w:sz w:val="20"/>
        </w:rPr>
        <w:t>636 analistas de política gubernamental (tasa de respuesta 43.3%)</w:t>
      </w:r>
    </w:p>
    <w:p>
      <w:r>
        <w:rPr>
          <w:b/>
          <w:sz w:val="20"/>
        </w:rPr>
        <w:t xml:space="preserve">Instrumentos: </w:t>
      </w:r>
      <w:r>
        <w:rPr>
          <w:sz w:val="20"/>
        </w:rPr>
        <w:t>Análisis de hiperenlaces de redes virtuales, análisis de contenido cualitativo de reportes gubernamentales, cuestionario web de 70 ítems</w:t>
      </w:r>
    </w:p>
    <w:p>
      <w:r>
        <w:rPr>
          <w:b/>
          <w:sz w:val="20"/>
        </w:rPr>
        <w:t xml:space="preserve">Variable dependiente: </w:t>
      </w:r>
      <w:r>
        <w:rPr>
          <w:sz w:val="20"/>
        </w:rPr>
        <w:t>Capacidad de política para adaptación al cambio climático</w:t>
      </w:r>
    </w:p>
    <w:p>
      <w:r>
        <w:rPr>
          <w:b/>
          <w:sz w:val="20"/>
        </w:rPr>
        <w:t xml:space="preserve">Variables independientes: </w:t>
      </w:r>
      <w:r>
        <w:rPr>
          <w:sz w:val="20"/>
        </w:rPr>
        <w:t>Densidad de red, centralización, mandatos departamentales, recursos, tareas y actitudes de trabajadores</w:t>
      </w:r>
    </w:p>
    <w:p>
      <w:r>
        <w:rPr>
          <w:b/>
          <w:sz w:val="20"/>
        </w:rPr>
        <w:t xml:space="preserve">Análisis: </w:t>
      </w:r>
      <w:r>
        <w:rPr>
          <w:sz w:val="20"/>
        </w:rPr>
        <w:t>Análisis estructural de redes, análisis de contenido cualitativo, análisis estadístico con SPSS 20.0</w:t>
      </w:r>
    </w:p>
    <w:p>
      <w:r>
        <w:rPr>
          <w:b/>
          <w:sz w:val="20"/>
        </w:rPr>
        <w:t xml:space="preserve">País/Nivel de gobierno: </w:t>
      </w:r>
      <w:r>
        <w:rPr>
          <w:sz w:val="20"/>
        </w:rPr>
        <w:t>Canadá - federal, provincial y territorial</w:t>
      </w:r>
    </w:p>
    <w:p>
      <w:pPr>
        <w:pStyle w:val="Heading2"/>
      </w:pPr>
      <w:r>
        <w:rPr>
          <w:color w:val="1B4332"/>
        </w:rPr>
        <w:t>9 | Evidencia empírica / estadística</w:t>
      </w:r>
    </w:p>
    <w:p>
      <w:r>
        <w:rPr>
          <w:sz w:val="20"/>
        </w:rPr>
        <w:t>La centralización de la red incrementó de 0.08 a 0.10 y la densidad de 0.17 a 0.41 entre 2010-2011. El presupuesto de Infrastructure Canada creció dramáticamente de $12.118 millones (2002-03) a $8.182.658 millones (2010-11). El personal de tiempo completo aumentó de 35 a 428 empleados. La nodalidad del gobierno federal se mantuvo estable en 0.10. H1, H2 y H4 fueron soportadas empíricamente, mientras H3 fue parcialmente rechazada mostrando brechas recursos-mandato. El análisis cualitativo reveló shift departamental desde desarrollo de capacidad hacia proyectos de infraestructura downstream.</w:t>
      </w:r>
    </w:p>
    <w:p>
      <w:pPr>
        <w:pStyle w:val="Heading2"/>
      </w:pPr>
      <w:r>
        <w:rPr>
          <w:color w:val="1B4332"/>
        </w:rPr>
        <w:t>14 | Conclusión analítica sintética</w:t>
      </w:r>
    </w:p>
    <w:tbl>
      <w:tblPr>
        <w:tblStyle w:val="TableGrid"/>
        <w:tblW w:type="auto" w:w="0"/>
        <w:tblLook w:firstColumn="1" w:firstRow="1" w:lastColumn="0" w:lastRow="0" w:noHBand="0" w:noVBand="1" w:val="04A0"/>
      </w:tblPr>
      <w:tblGrid>
        <w:gridCol w:w="9406"/>
      </w:tblGrid>
      <w:tr>
        <w:tc>
          <w:tcPr>
            <w:tcW w:type="dxa" w:w="9406"/>
            <w:shd w:val="clear" w:color="auto" w:fill="E8F5E9"/>
          </w:tcPr>
          <w:p/>
          <w:p>
            <w:r>
              <w:rPr>
                <w:sz w:val="19"/>
              </w:rPr>
              <w:t>El argumento central del estudio demuestra que pese al incremento en densidad de redes, centralización y recursos financieros, el sector de infraestructura canadiense enfrenta déficits significativos de capacidad para adaptación al cambio climático. La investigación revela una paradoja: mientras las estructuras de gobernanza se vuelven más complejas y los mandatos se expanden, la capacidad analítica y organizacional no se desarrolla proporcionalmente. Este hallazgo tiene relevancia crítica para la formulación de políticas de adaptación climática, sugiriendo que las inversiones en infraestructura deben acompañarse de inversiones equivalentes en capacidad institucional. El estudio aporta evidencia empírica robusta sobre los desafíos de gobernanza multinivel en políticas complejas y transversales. La metodología multinivel desarrollada ofrece un modelo replicable para evaluar capacidad de política en otros sectores y jurisdicciones, contribuyendo significativamente a la literatura de capacidad estatal y gobernanza climática.</w:t>
            </w:r>
          </w:p>
        </w:tc>
      </w:tr>
    </w:tbl>
    <w:p/>
    <w:p>
      <w:r>
        <w:br w:type="page"/>
      </w:r>
    </w:p>
    <w:p>
      <w:pPr>
        <w:pStyle w:val="Heading1"/>
      </w:pPr>
      <w:r>
        <w:rPr>
          <w:color w:val="1B4332"/>
        </w:rPr>
        <w:t>PARTE II — FICHA AJUSTADA AL PROYECTO DE CAPACIDADES</w:t>
      </w:r>
    </w:p>
    <w:p>
      <w:r>
        <w:rPr>
          <w:i/>
          <w:sz w:val="20"/>
        </w:rPr>
        <w:t>Matriz de Wu et al. (2015/2018) aplicada a Rionegro, Antioquia</w:t>
      </w:r>
    </w:p>
    <w:p>
      <w:pPr>
        <w:pStyle w:val="Heading2"/>
      </w:pPr>
      <w:r>
        <w:rPr>
          <w:color w:val="1B4332"/>
        </w:rPr>
        <w:t>I | Mapeo a la Matriz de Capacidades (9 celdas)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B4332"/>
          </w:tcPr>
          <w:p>
            <w:r>
              <w:rPr>
                <w:b/>
                <w:color w:val="FFFFFF"/>
                <w:sz w:val="16"/>
              </w:rPr>
              <w:t>Nivel \ Competencia</w:t>
            </w:r>
          </w:p>
        </w:tc>
        <w:tc>
          <w:tcPr>
            <w:tcW w:type="dxa" w:w="2351"/>
            <w:shd w:val="clear" w:color="auto" w:fill="1B4332"/>
          </w:tcPr>
          <w:p>
            <w:r>
              <w:rPr>
                <w:b/>
                <w:color w:val="FFFFFF"/>
                <w:sz w:val="16"/>
              </w:rPr>
              <w:t>ANALÍTICA</w:t>
            </w:r>
          </w:p>
        </w:tc>
        <w:tc>
          <w:tcPr>
            <w:tcW w:type="dxa" w:w="2351"/>
            <w:shd w:val="clear" w:color="auto" w:fill="1B4332"/>
          </w:tcPr>
          <w:p>
            <w:r>
              <w:rPr>
                <w:b/>
                <w:color w:val="FFFFFF"/>
                <w:sz w:val="16"/>
              </w:rPr>
              <w:t>OPERATIVA</w:t>
            </w:r>
          </w:p>
        </w:tc>
        <w:tc>
          <w:tcPr>
            <w:tcW w:type="dxa" w:w="2351"/>
            <w:shd w:val="clear" w:color="auto" w:fill="1B4332"/>
          </w:tcPr>
          <w:p>
            <w:r>
              <w:rPr>
                <w:b/>
                <w:color w:val="FFFFFF"/>
                <w:sz w:val="16"/>
              </w:rPr>
              <w:t>POLÍTICA</w:t>
            </w:r>
          </w:p>
        </w:tc>
      </w:tr>
      <w:tr>
        <w:tc>
          <w:tcPr>
            <w:tcW w:type="dxa" w:w="2351"/>
            <w:shd w:val="clear" w:color="auto" w:fill="D8F3DC"/>
          </w:tcPr>
          <w:p>
            <w:r>
              <w:rPr>
                <w:b/>
                <w:sz w:val="16"/>
              </w:rPr>
              <w:t>INDIVIDUAL</w:t>
            </w:r>
          </w:p>
        </w:tc>
        <w:tc>
          <w:tcPr>
            <w:tcW w:type="dxa" w:w="2351"/>
            <w:shd w:val="clear" w:color="auto" w:fill="C8E6C9"/>
          </w:tcPr>
          <w:p>
            <w:r>
              <w:rPr>
                <w:b/>
                <w:color w:val="2E7D32"/>
                <w:sz w:val="16"/>
              </w:rPr>
              <w:t xml:space="preserve">[2] </w:t>
            </w:r>
            <w:r>
              <w:rPr>
                <w:sz w:val="14"/>
              </w:rPr>
              <w:t>Propone survey con ítems sobre habilidades analíticas y técnicas de análisis de política d</w:t>
            </w:r>
          </w:p>
        </w:tc>
        <w:tc>
          <w:tcPr>
            <w:tcW w:type="dxa" w:w="2351"/>
            <w:shd w:val="clear" w:color="auto" w:fill="FFF9C4"/>
          </w:tcPr>
          <w:p>
            <w:r>
              <w:rPr>
                <w:b/>
                <w:color w:val="F57F17"/>
                <w:sz w:val="16"/>
              </w:rPr>
              <w:t xml:space="preserve">[1] </w:t>
            </w:r>
            <w:r>
              <w:rPr>
                <w:sz w:val="14"/>
              </w:rPr>
              <w:t>Menciona capacidades de liderazgo individual pero no las desarrolla metodológicamente</w:t>
            </w:r>
          </w:p>
        </w:tc>
        <w:tc>
          <w:tcPr>
            <w:tcW w:type="dxa" w:w="2351"/>
            <w:shd w:val="clear" w:color="auto" w:fill="FFF9C4"/>
          </w:tcPr>
          <w:p>
            <w:r>
              <w:rPr>
                <w:b/>
                <w:color w:val="F57F17"/>
                <w:sz w:val="16"/>
              </w:rPr>
              <w:t xml:space="preserve">[1] </w:t>
            </w:r>
            <w:r>
              <w:rPr>
                <w:sz w:val="14"/>
              </w:rPr>
              <w:t>Refiere a habilidades políticas individuales tangencialmente en el marco conceptual</w:t>
            </w:r>
          </w:p>
        </w:tc>
      </w:tr>
      <w:tr>
        <w:tc>
          <w:tcPr>
            <w:tcW w:type="dxa" w:w="2351"/>
            <w:shd w:val="clear" w:color="auto" w:fill="D8F3DC"/>
          </w:tcPr>
          <w:p>
            <w:r>
              <w:rPr>
                <w:b/>
                <w:sz w:val="16"/>
              </w:rPr>
              <w:t>ORGANIZACIONAL</w:t>
            </w:r>
          </w:p>
        </w:tc>
        <w:tc>
          <w:tcPr>
            <w:tcW w:type="dxa" w:w="2351"/>
            <w:shd w:val="clear" w:color="auto" w:fill="2E7D32"/>
          </w:tcPr>
          <w:p>
            <w:r>
              <w:rPr>
                <w:b/>
                <w:color w:val="FFFFFF"/>
                <w:sz w:val="16"/>
              </w:rPr>
              <w:t xml:space="preserve">[3] </w:t>
            </w:r>
            <w:r>
              <w:rPr>
                <w:sz w:val="14"/>
              </w:rPr>
              <w:t>Desarrolla metodología para medir infraestructura organizacional (FTEs, presupuestos, mand</w:t>
            </w:r>
          </w:p>
        </w:tc>
        <w:tc>
          <w:tcPr>
            <w:tcW w:type="dxa" w:w="2351"/>
            <w:shd w:val="clear" w:color="auto" w:fill="2E7D32"/>
          </w:tcPr>
          <w:p>
            <w:r>
              <w:rPr>
                <w:b/>
                <w:color w:val="FFFFFF"/>
                <w:sz w:val="16"/>
              </w:rPr>
              <w:t xml:space="preserve">[3] </w:t>
            </w:r>
            <w:r>
              <w:rPr>
                <w:sz w:val="14"/>
              </w:rPr>
              <w:t>Mide recursos organizacionales, coordinación interna y capacidad departamental con indicad</w:t>
            </w:r>
          </w:p>
        </w:tc>
        <w:tc>
          <w:tcPr>
            <w:tcW w:type="dxa" w:w="2351"/>
            <w:shd w:val="clear" w:color="auto" w:fill="C8E6C9"/>
          </w:tcPr>
          <w:p>
            <w:r>
              <w:rPr>
                <w:b/>
                <w:color w:val="2E7D32"/>
                <w:sz w:val="16"/>
              </w:rPr>
              <w:t xml:space="preserve">[2] </w:t>
            </w:r>
            <w:r>
              <w:rPr>
                <w:sz w:val="14"/>
              </w:rPr>
              <w:t>Desarrolla concepto de posición nodal organizacional y reputación en redes de política</w:t>
            </w:r>
          </w:p>
        </w:tc>
      </w:tr>
      <w:tr>
        <w:tc>
          <w:tcPr>
            <w:tcW w:type="dxa" w:w="2351"/>
            <w:shd w:val="clear" w:color="auto" w:fill="D8F3DC"/>
          </w:tcPr>
          <w:p>
            <w:r>
              <w:rPr>
                <w:b/>
                <w:sz w:val="16"/>
              </w:rPr>
              <w:t>SISTÉMICO</w:t>
            </w:r>
          </w:p>
        </w:tc>
        <w:tc>
          <w:tcPr>
            <w:tcW w:type="dxa" w:w="2351"/>
            <w:shd w:val="clear" w:color="auto" w:fill="2E7D32"/>
          </w:tcPr>
          <w:p>
            <w:r>
              <w:rPr>
                <w:b/>
                <w:color w:val="FFFFFF"/>
                <w:sz w:val="16"/>
              </w:rPr>
              <w:t xml:space="preserve">[3] </w:t>
            </w:r>
            <w:r>
              <w:rPr>
                <w:sz w:val="14"/>
              </w:rPr>
              <w:t>Operacionaliza análisis de redes virtuales de política para medir capacidad sistémica de i</w:t>
            </w:r>
          </w:p>
        </w:tc>
        <w:tc>
          <w:tcPr>
            <w:tcW w:type="dxa" w:w="2351"/>
            <w:shd w:val="clear" w:color="auto" w:fill="C8E6C9"/>
          </w:tcPr>
          <w:p>
            <w:r>
              <w:rPr>
                <w:b/>
                <w:color w:val="2E7D32"/>
                <w:sz w:val="16"/>
              </w:rPr>
              <w:t xml:space="preserve">[2] </w:t>
            </w:r>
            <w:r>
              <w:rPr>
                <w:sz w:val="14"/>
              </w:rPr>
              <w:t>Conceptualiza relaciones intergubernamentales federales-provinciales como dimensión de cap</w:t>
            </w:r>
          </w:p>
        </w:tc>
        <w:tc>
          <w:tcPr>
            <w:tcW w:type="dxa" w:w="2351"/>
            <w:shd w:val="clear" w:color="auto" w:fill="FFF9C4"/>
          </w:tcPr>
          <w:p>
            <w:r>
              <w:rPr>
                <w:b/>
                <w:color w:val="F57F17"/>
                <w:sz w:val="16"/>
              </w:rPr>
              <w:t xml:space="preserve">[1] </w:t>
            </w:r>
            <w:r>
              <w:rPr>
                <w:sz w:val="14"/>
              </w:rPr>
              <w:t>Menciona legitimidad sistémica pero no la operacionaliza</w:t>
            </w:r>
          </w:p>
        </w:tc>
      </w:tr>
    </w:tbl>
    <w:p/>
    <w:p>
      <w:r>
        <w:rPr>
          <w:sz w:val="18"/>
        </w:rPr>
        <w:t>AI: 2 | Propone survey con ítems sobre habilidades analíticas y técnicas de análisis de política de trabajadores</w:t>
        <w:br/>
        <w:t>AO: 3 | Desarrolla metodología para medir infraestructura organizacional (FTEs, presupuestos, mandatos departamentales)</w:t>
        <w:br/>
        <w:t>AS: 3 | Operacionaliza análisis de redes virtuales de política para medir capacidad sistémica de información</w:t>
        <w:br/>
        <w:t>OI: 1 | Menciona capacidades de liderazgo individual pero no las desarrolla metodológicamente</w:t>
        <w:br/>
        <w:t>OO: 3 | Mide recursos organizacionales, coordinación interna y capacidad departamental con indicadores concretos</w:t>
        <w:br/>
        <w:t>OS: 2 | Conceptualiza relaciones intergubernamentales federales-provinciales como dimensión de capacidad operativa</w:t>
        <w:br/>
        <w:t>PI: 1 | Refiere a habilidades políticas individuales tangencialmente en el marco conceptual</w:t>
        <w:br/>
        <w:t>PO: 2 | Desarrolla concepto de posición nodal organizacional y reputación en redes de política</w:t>
        <w:br/>
        <w:t>PS: 1 | Menciona legitimidad sistémica pero no la operacionaliza</w:t>
        <w:br/>
        <w:t>CELDAS_PRINCIPALES: AO, AS, OO</w:t>
      </w:r>
    </w:p>
    <w:p>
      <w:pPr>
        <w:pStyle w:val="Heading2"/>
      </w:pPr>
      <w:r>
        <w:rPr>
          <w:color w:val="1B4332"/>
        </w:rPr>
        <w:t>II | Indicadores operacionalizables extraídos</w:t>
      </w:r>
    </w:p>
    <w:tbl>
      <w:tblPr>
        <w:tblStyle w:val="TableGrid"/>
        <w:tblW w:type="auto" w:w="0"/>
        <w:tblLook w:firstColumn="1" w:firstRow="1" w:lastColumn="0" w:lastRow="0" w:noHBand="0" w:noVBand="1" w:val="04A0"/>
      </w:tblPr>
      <w:tblGrid>
        <w:gridCol w:w="9406"/>
      </w:tblGrid>
      <w:tr>
        <w:tc>
          <w:tcPr>
            <w:tcW w:type="dxa" w:w="9406"/>
            <w:shd w:val="clear" w:color="auto" w:fill="E3F2FD"/>
          </w:tcPr>
          <w:p/>
          <w:p>
            <w:r>
              <w:rPr>
                <w:b/>
                <w:color w:val="1B4332"/>
                <w:sz w:val="20"/>
              </w:rPr>
              <w:t>Indicadores para instrumento de medición</w:t>
            </w:r>
          </w:p>
          <w:p>
            <w:r>
              <w:rPr>
                <w:sz w:val="19"/>
              </w:rPr>
              <w:t>- Indicador: Densidad de red virtual de políticas (hyperlinks entre actores)</w:t>
              <w:br/>
              <w:t xml:space="preserve">  Celda: AS</w:t>
              <w:br/>
              <w:t xml:space="preserve">  Tipo: Cuantitativo</w:t>
              <w:br/>
              <w:t xml:space="preserve">  Fuente: Web crawling/IssueCrawler</w:t>
              <w:br/>
              <w:t xml:space="preserve">  Adaptable a Rionegro: Sí con ajustes</w:t>
              <w:br/>
              <w:t xml:space="preserve">  Página: 44</w:t>
              <w:br/>
              <w:br/>
              <w:t>- Indicador: Centralización de red (nodality measure)</w:t>
              <w:br/>
              <w:t xml:space="preserve">  Celda: AS</w:t>
              <w:br/>
              <w:t xml:space="preserve">  Tipo: Cuantitativo</w:t>
              <w:br/>
              <w:t xml:space="preserve">  Fuente: Análisis de hyperlinks</w:t>
              <w:br/>
              <w:t xml:space="preserve">  Adaptable a Rionegro: Sí con ajustes</w:t>
              <w:br/>
              <w:t xml:space="preserve">  Página: 43</w:t>
              <w:br/>
              <w:br/>
              <w:t>- Indicador: Equivalentes de tiempo completo (FTEs) departamentales</w:t>
              <w:br/>
              <w:t xml:space="preserve">  Celda: AO/OO</w:t>
              <w:br/>
              <w:t xml:space="preserve">  Tipo: Cuantitativo</w:t>
              <w:br/>
              <w:t xml:space="preserve">  Fuente: Registro administrativo</w:t>
              <w:br/>
              <w:t xml:space="preserve">  Adaptable a Rionegro: Sí directo</w:t>
              <w:br/>
              <w:t xml:space="preserve">  Página: 45</w:t>
              <w:br/>
              <w:br/>
              <w:t>- Indicador: Presupuesto departamental total y para análisis de política</w:t>
              <w:br/>
              <w:t xml:space="preserve">  Celda: AO/OO</w:t>
              <w:br/>
              <w:t xml:space="preserve">  Tipo: Cuantitativo</w:t>
              <w:br/>
              <w:t xml:space="preserve">  Fuente: Registro administrativo</w:t>
              <w:br/>
              <w:t xml:space="preserve">  Adaptable a Rionegro: Sí directo</w:t>
              <w:br/>
              <w:t xml:space="preserve">  Página: 45</w:t>
              <w:br/>
              <w:br/>
              <w:t>- Indicador: Evolución de mandatos departamentales (análisis de contenido)</w:t>
              <w:br/>
              <w:t xml:space="preserve">  Celda: OO</w:t>
              <w:br/>
              <w:t xml:space="preserve">  Tipo: Cualitativo</w:t>
              <w:br/>
              <w:t xml:space="preserve">  Fuente: Documentos oficiales</w:t>
              <w:br/>
              <w:t xml:space="preserve">  Adaptable a Rionegro: Sí directo</w:t>
              <w:br/>
              <w:t xml:space="preserve">  Página: 45</w:t>
            </w:r>
          </w:p>
        </w:tc>
      </w:tr>
    </w:tbl>
    <w:p/>
    <w:p>
      <w:pPr>
        <w:pStyle w:val="Heading2"/>
      </w:pPr>
      <w:r>
        <w:rPr>
          <w:color w:val="1B4332"/>
        </w:rPr>
        <w:t>III | Variables, escalas e ítems de encuesta</w:t>
      </w:r>
    </w:p>
    <w:tbl>
      <w:tblPr>
        <w:tblStyle w:val="TableGrid"/>
        <w:tblW w:type="auto" w:w="0"/>
        <w:tblLook w:firstColumn="1" w:firstRow="1" w:lastColumn="0" w:lastRow="0" w:noHBand="0" w:noVBand="1" w:val="04A0"/>
      </w:tblPr>
      <w:tblGrid>
        <w:gridCol w:w="9406"/>
      </w:tblGrid>
      <w:tr>
        <w:tc>
          <w:tcPr>
            <w:tcW w:type="dxa" w:w="9406"/>
            <w:shd w:val="clear" w:color="auto" w:fill="F3E5F5"/>
          </w:tcPr>
          <w:p/>
          <w:p>
            <w:r>
              <w:rPr>
                <w:b/>
                <w:color w:val="1B4332"/>
                <w:sz w:val="20"/>
              </w:rPr>
              <w:t>Ítems extraíbles para instrumento Rionegro</w:t>
            </w:r>
          </w:p>
          <w:p>
            <w:r>
              <w:rPr>
                <w:sz w:val="19"/>
              </w:rPr>
              <w:t>- Nombre: Cuestionario de capacidad analítica de trabajadores de política (70 ítems)</w:t>
              <w:br/>
              <w:t xml:space="preserve">- Dimensiones medidas: </w:t>
              <w:br/>
              <w:t xml:space="preserve">  * Escala y ubicación de funciones analíticas (AO)</w:t>
              <w:br/>
              <w:t xml:space="preserve">  * Ambiente político circundante (PO)</w:t>
              <w:br/>
              <w:t xml:space="preserve">  * Metodologías analíticas utilizadas (AI)</w:t>
              <w:br/>
              <w:t xml:space="preserve">  * Disponibilidad y uso de información (AS)</w:t>
              <w:br/>
              <w:t xml:space="preserve">  * Dimensiones de decisiones de política (PI)</w:t>
              <w:br/>
              <w:t>- Tipo: Cuestionario web estructurado</w:t>
              <w:br/>
              <w:t>- Población: 636 analistas gubernamentales (tasa respuesta 43.3%)</w:t>
              <w:br/>
              <w:t>- Confiabilidad: No reportada</w:t>
              <w:br/>
              <w:t>- Página: 45</w:t>
            </w:r>
          </w:p>
        </w:tc>
      </w:tr>
    </w:tbl>
    <w:p/>
    <w:p>
      <w:pPr>
        <w:pStyle w:val="Heading2"/>
      </w:pPr>
      <w:r>
        <w:rPr>
          <w:color w:val="1B4332"/>
        </w:rPr>
        <w:t>IV | Intervenciones de Capacity Building</w:t>
      </w:r>
    </w:p>
    <w:tbl>
      <w:tblPr>
        <w:tblStyle w:val="TableGrid"/>
        <w:tblW w:type="auto" w:w="0"/>
        <w:tblLook w:firstColumn="1" w:firstRow="1" w:lastColumn="0" w:lastRow="0" w:noHBand="0" w:noVBand="1" w:val="04A0"/>
      </w:tblPr>
      <w:tblGrid>
        <w:gridCol w:w="9406"/>
      </w:tblGrid>
      <w:tr>
        <w:tc>
          <w:tcPr>
            <w:tcW w:type="dxa" w:w="9406"/>
            <w:shd w:val="clear" w:color="auto" w:fill="FFF3E0"/>
          </w:tcPr>
          <w:p/>
          <w:p>
            <w:r>
              <w:rPr>
                <w:sz w:val="19"/>
              </w:rPr>
              <w:t>ANCLAJE DURO: [No desarrolla intervenciones específicas de esta categoría]</w:t>
              <w:br/>
              <w:t>ANCLAJE BLANDO: [Implícitamente refiere a capacitación y desarrollo de habilidades analíticas]</w:t>
              <w:br/>
              <w:t>REFORMA ESTRUCTURAL: [Sugiere necesidad de incremento en recursos organizacionales y mandatos ampliados]</w:t>
              <w:br/>
              <w:t>OTRO: [Fortalecimiento de redes de política y vínculos intersectoriales]</w:t>
            </w:r>
          </w:p>
        </w:tc>
      </w:tr>
    </w:tbl>
    <w:p/>
    <w:p>
      <w:pPr>
        <w:pStyle w:val="Heading2"/>
      </w:pPr>
      <w:r>
        <w:rPr>
          <w:color w:val="1B4332"/>
        </w:rPr>
        <w:t>V | Cadena causal: Intervención → Capacidad</w:t>
      </w:r>
    </w:p>
    <w:tbl>
      <w:tblPr>
        <w:tblStyle w:val="TableGrid"/>
        <w:tblW w:type="auto" w:w="0"/>
        <w:tblLook w:firstColumn="1" w:firstRow="1" w:lastColumn="0" w:lastRow="0" w:noHBand="0" w:noVBand="1" w:val="04A0"/>
      </w:tblPr>
      <w:tblGrid>
        <w:gridCol w:w="9406"/>
      </w:tblGrid>
      <w:tr>
        <w:tc>
          <w:tcPr>
            <w:tcW w:type="dxa" w:w="9406"/>
            <w:shd w:val="clear" w:color="auto" w:fill="FCE4EC"/>
          </w:tcPr>
          <w:p/>
          <w:p>
            <w:r>
              <w:rPr>
                <w:b/>
                <w:color w:val="1B4332"/>
                <w:sz w:val="20"/>
              </w:rPr>
              <w:t>Intervención → Mecanismo → Celda → Moderador</w:t>
            </w:r>
          </w:p>
          <w:p>
            <w:r>
              <w:rPr>
                <w:sz w:val="19"/>
              </w:rPr>
              <w:t>Presiones de adaptación climática → ampliación de mandatos departamentales → brecha mandato-recursos → déficit de capacidad organizacional (OO) → condicionado por disponibilidad presupuestaria</w:t>
              <w:br/>
              <w:br/>
              <w:t>Nuevos actores en redes de política → mayor densidad y centralización → incremento capacidad sistémica (AS) → moderado por capacidad de absorción institucional</w:t>
              <w:br/>
              <w:br/>
              <w:t>Demandas de análisis técnico especializado → requerimientos de habilidades analíticas individuales (AI) → déficit de capacidad sin training → condicionado por rotación de personal</w:t>
            </w:r>
          </w:p>
        </w:tc>
      </w:tr>
    </w:tbl>
    <w:p/>
    <w:p>
      <w:pPr>
        <w:pStyle w:val="Heading2"/>
      </w:pPr>
      <w:r>
        <w:rPr>
          <w:color w:val="1B4332"/>
        </w:rPr>
        <w:t>VI | Condiciones estructurales (facilitadoras/inhibidoras)</w:t>
      </w:r>
    </w:p>
    <w:p>
      <w:r>
        <w:rPr>
          <w:sz w:val="20"/>
        </w:rPr>
        <w:t>FACILITADORES:</w:t>
        <w:br/>
        <w:t>- Densidad de redes de política: Mayor interconexión facilita intercambio de información y conocimiento especializado</w:t>
        <w:br/>
        <w:t>- Centralización gubernamental: Permite coordinación más efectiva de respuestas de política</w:t>
        <w:br/>
        <w:t>- Estabilidad de personal: Facilita acumulación de conocimiento institucional</w:t>
        <w:br/>
        <w:br/>
        <w:t>INHIBIDORES:</w:t>
        <w:br/>
        <w:t>- Brecha mandato-recursos: Expansión de responsabilidades sin incremento proporcional de recursos organizacionales</w:t>
        <w:br/>
        <w:t>- Complejidad intersectorial: Infraestructura requiere coordinación entre múltiples niveles y sectores</w:t>
        <w:br/>
        <w:t>- Dependencia histórica no-ambiental: Sector tradicionalmente ajeno a consideraciones ambientales/climáticas</w:t>
      </w:r>
    </w:p>
    <w:p>
      <w:pPr>
        <w:pStyle w:val="Heading2"/>
      </w:pPr>
      <w:r>
        <w:rPr>
          <w:color w:val="1B4332"/>
        </w:rPr>
        <w:t>VII | Comparabilidad contextual con Rionegro</w:t>
      </w:r>
    </w:p>
    <w:p>
      <w:r>
        <w:rPr>
          <w:b/>
          <w:sz w:val="20"/>
        </w:rPr>
        <w:t xml:space="preserve">País: </w:t>
      </w:r>
      <w:r>
        <w:rPr>
          <w:sz w:val="20"/>
        </w:rPr>
        <w:t>Canadá</w:t>
      </w:r>
    </w:p>
    <w:p>
      <w:r>
        <w:rPr>
          <w:b/>
          <w:sz w:val="20"/>
        </w:rPr>
        <w:t xml:space="preserve">Nivel de gobierno: </w:t>
      </w:r>
      <w:r>
        <w:rPr>
          <w:sz w:val="20"/>
        </w:rPr>
        <w:t>Federal y provincial</w:t>
      </w:r>
    </w:p>
    <w:p>
      <w:r>
        <w:rPr>
          <w:b/>
          <w:sz w:val="20"/>
        </w:rPr>
        <w:t xml:space="preserve">Tamaño del gobierno: </w:t>
      </w:r>
      <w:r>
        <w:rPr>
          <w:sz w:val="20"/>
        </w:rPr>
        <w:t>Grande (Infrastructure Canada como departamento líder)</w:t>
      </w:r>
    </w:p>
    <w:p>
      <w:r>
        <w:rPr>
          <w:b/>
          <w:sz w:val="20"/>
        </w:rPr>
        <w:t xml:space="preserve">Ingreso/Categoría fiscal: </w:t>
      </w:r>
      <w:r>
        <w:rPr>
          <w:sz w:val="20"/>
        </w:rPr>
        <w:t>Alto</w:t>
      </w:r>
    </w:p>
    <w:p>
      <w:r>
        <w:rPr>
          <w:b/>
          <w:sz w:val="20"/>
        </w:rPr>
        <w:t xml:space="preserve">Tipo de régimen burocrático: </w:t>
      </w:r>
      <w:r>
        <w:rPr>
          <w:sz w:val="20"/>
        </w:rPr>
        <w:t>Weberiano consolidado</w:t>
      </w:r>
    </w:p>
    <w:p>
      <w:r>
        <w:rPr>
          <w:b/>
          <w:sz w:val="20"/>
        </w:rPr>
        <w:t xml:space="preserve">Sector de política: </w:t>
      </w:r>
      <w:r>
        <w:rPr>
          <w:sz w:val="20"/>
        </w:rPr>
        <w:t>Infraestructura (transversal)</w:t>
      </w:r>
    </w:p>
    <w:p>
      <w:r>
        <w:rPr>
          <w:b/>
          <w:sz w:val="20"/>
        </w:rPr>
        <w:t xml:space="preserve">Comparabilidad con Rionegro: </w:t>
      </w:r>
      <w:r>
        <w:rPr>
          <w:sz w:val="20"/>
        </w:rPr>
        <w:t>Media</w:t>
      </w:r>
    </w:p>
    <w:p>
      <w:r>
        <w:rPr>
          <w:b/>
          <w:sz w:val="20"/>
        </w:rPr>
        <w:t xml:space="preserve">Justificación: </w:t>
      </w:r>
      <w:r>
        <w:rPr>
          <w:sz w:val="20"/>
        </w:rPr>
        <w:t>Ambos casos abordan capacidad sectorial transversal, pero difieren en escala, institucionalización burocrática y recursos disponibles</w:t>
      </w:r>
    </w:p>
    <w:p>
      <w:pPr>
        <w:pStyle w:val="Heading2"/>
      </w:pPr>
      <w:r>
        <w:rPr>
          <w:color w:val="1B4332"/>
        </w:rPr>
        <w:t>VIII | Conexión con las 4 preguntas empíricas</w:t>
      </w:r>
    </w:p>
    <w:p>
      <w:r>
        <w:rPr>
          <w:sz w:val="20"/>
        </w:rPr>
        <w:t>P1 — Anclaje duro → nivel organizacional: Evidencia que recursos organizacionales duros (FTEs, presupuestos) son críticos para capacidad departamental</w:t>
      </w:r>
      <w:r>
        <w:rPr>
          <w:b/>
          <w:color w:val="2E7D32"/>
          <w:sz w:val="20"/>
        </w:rPr>
        <w:t xml:space="preserve">  →  Soporta</w:t>
      </w:r>
    </w:p>
    <w:p>
      <w:r>
        <w:rPr>
          <w:sz w:val="20"/>
        </w:rPr>
        <w:t>P2 — Intervenciones blandas → individual/político: Sugiere importancia de habilidades analíticas individuales pero no mide intervenciones blandas</w:t>
      </w:r>
      <w:r>
        <w:rPr>
          <w:b/>
          <w:sz w:val="20"/>
        </w:rPr>
        <w:t xml:space="preserve">  →  No aplica</w:t>
      </w:r>
    </w:p>
    <w:p>
      <w:r>
        <w:rPr>
          <w:sz w:val="20"/>
        </w:rPr>
        <w:t>P3 — Inercia dimensional → restricciones estructurales: Demuestra que brechas mandato-recursos crean restricciones estructurales persistentes</w:t>
      </w:r>
      <w:r>
        <w:rPr>
          <w:b/>
          <w:color w:val="2E7D32"/>
          <w:sz w:val="20"/>
        </w:rPr>
        <w:t xml:space="preserve">  →  Soporta</w:t>
      </w:r>
    </w:p>
    <w:p>
      <w:r>
        <w:rPr>
          <w:sz w:val="20"/>
        </w:rPr>
        <w:t>P4 — Apropiación superficial vs. real: No distingue entre apropiación real y superficial de capacidades</w:t>
      </w:r>
      <w:r>
        <w:rPr>
          <w:b/>
          <w:sz w:val="20"/>
        </w:rPr>
        <w:t xml:space="preserve">  →  No aplica</w:t>
      </w:r>
    </w:p>
    <w:p>
      <w:pPr>
        <w:pStyle w:val="Heading2"/>
      </w:pPr>
      <w:r>
        <w:rPr>
          <w:color w:val="1B4332"/>
        </w:rPr>
        <w:t>IX | Citas estratégicas categorizadas</w:t>
      </w:r>
    </w:p>
    <w:p>
      <w:pPr>
        <w:pStyle w:val="Heading3"/>
      </w:pPr>
      <w:r>
        <w:rPr>
          <w:color w:val="4A148C"/>
        </w:rPr>
        <w:t>Para Marco Teórico</w:t>
      </w:r>
    </w:p>
    <w:p>
      <w:pPr>
        <w:ind w:left="567" w:right="567"/>
      </w:pPr>
      <w:r>
        <w:rPr>
          <w:i/>
          <w:color w:val="444444"/>
          <w:sz w:val="19"/>
        </w:rPr>
        <w:t>""Policy capacity is defined here as a multifaceted concept extending over at least three levels: the subsystem level, the organizational level, and that of micro-level behavior" (p. 42)"</w:t>
      </w:r>
    </w:p>
    <w:p>
      <w:pPr>
        <w:ind w:left="567" w:right="567"/>
      </w:pPr>
      <w:r>
        <w:rPr>
          <w:i/>
          <w:color w:val="444444"/>
          <w:sz w:val="19"/>
        </w:rPr>
        <w:t>""Changes in mandates have been matched by changes in resources allowing for policy capacity to have increased" (p. 45)"</w:t>
      </w:r>
    </w:p>
    <w:p>
      <w:pPr>
        <w:ind w:left="567" w:right="567"/>
      </w:pPr>
      <w:r>
        <w:rPr>
          <w:i/>
          <w:color w:val="444444"/>
          <w:sz w:val="19"/>
        </w:rPr>
        <w:t>""Policy networks can be analyzed by studying virtual policy networks as online relational patterns of Web-enabled policy communities" (p. 44)"</w:t>
      </w:r>
    </w:p>
    <w:p>
      <w:pPr>
        <w:pStyle w:val="Heading3"/>
      </w:pPr>
      <w:r>
        <w:rPr>
          <w:color w:val="0D47A1"/>
        </w:rPr>
        <w:t>Para Metodología</w:t>
      </w:r>
    </w:p>
    <w:p>
      <w:pPr>
        <w:ind w:left="567" w:right="567"/>
      </w:pPr>
      <w:r>
        <w:rPr>
          <w:i/>
          <w:color w:val="444444"/>
          <w:sz w:val="19"/>
        </w:rPr>
        <w:t>""Mixed-method approach consisting of hyperlink analysis, qualitative content analysis of government reports, and quantitative survey-based analysis" (p. 44)"</w:t>
      </w:r>
    </w:p>
    <w:p>
      <w:pPr>
        <w:ind w:left="567" w:right="567"/>
      </w:pPr>
      <w:r>
        <w:rPr>
          <w:i/>
          <w:color w:val="444444"/>
          <w:sz w:val="19"/>
        </w:rPr>
        <w:t>""Census rather than sample was drawn due to the small size of the population, consistent with other expert-based studies" (p. 46)"</w:t>
      </w:r>
    </w:p>
    <w:p>
      <w:pPr>
        <w:pStyle w:val="Heading3"/>
      </w:pPr>
      <w:r>
        <w:rPr>
          <w:color w:val="BF360C"/>
        </w:rPr>
        <w:t>Para Discusión</w:t>
      </w:r>
    </w:p>
    <w:p>
      <w:pPr>
        <w:ind w:left="567" w:right="567"/>
      </w:pPr>
      <w:r>
        <w:rPr>
          <w:i/>
          <w:color w:val="444444"/>
          <w:sz w:val="19"/>
        </w:rPr>
        <w:t>""Policy capacity in the Canadian infrastructure sector will be unable to meet the demands placed upon the sector to respond to climate change" (p. 42)"</w:t>
      </w:r>
    </w:p>
    <w:p>
      <w:pPr>
        <w:ind w:left="567" w:right="567"/>
      </w:pPr>
      <w:r>
        <w:rPr>
          <w:i/>
          <w:color w:val="444444"/>
          <w:sz w:val="19"/>
        </w:rPr>
        <w:t>""Additional resources—knowledge, personnel, and financial—will be required in order to attain these new goals" (p. 43)"</w:t>
      </w:r>
    </w:p>
    <w:p>
      <w:pPr>
        <w:ind w:left="567" w:right="567"/>
      </w:pPr>
      <w:r>
        <w:rPr>
          <w:i/>
          <w:color w:val="444444"/>
          <w:sz w:val="19"/>
        </w:rPr>
        <w:t>""Generally low levels of policy capacity at both the national and subnational levels with modern governance arrangements becoming more complex" (p. 42)"</w:t>
      </w:r>
    </w:p>
    <w:p>
      <w:pPr>
        <w:pStyle w:val="Heading2"/>
      </w:pPr>
      <w:r>
        <w:rPr>
          <w:color w:val="1B4332"/>
        </w:rPr>
        <w:t>X | Vacíos estratégicos</w:t>
      </w:r>
    </w:p>
    <w:p>
      <w:r>
        <w:rPr>
          <w:sz w:val="20"/>
        </w:rPr>
        <w:t>1. No distingue entre capacidades internas vs. externalizadas (crítico para contextos contractor-dominated)</w:t>
        <w:br/>
        <w:t>2. No mide sostenibilidad temporal de capacidades desarrolladas</w:t>
        <w:br/>
        <w:t>3. Carece de instrumentos para detectar apropiación superficial vs. real</w:t>
        <w:br/>
        <w:t>4. No considera efectos diferenciales según estabilidad de personal</w:t>
        <w:br/>
        <w:t>5. Ausencia de metodología para evaluar intervenciones específicas de capacity building</w:t>
      </w:r>
    </w:p>
    <w:p>
      <w:pPr>
        <w:pStyle w:val="Heading2"/>
      </w:pPr>
      <w:r>
        <w:rPr>
          <w:color w:val="1B4332"/>
        </w:rPr>
        <w:t>XI | Evaluación final estratégica</w:t>
      </w:r>
    </w:p>
    <w:p>
      <w:r>
        <w:rPr>
          <w:b/>
          <w:color w:val="E65100"/>
          <w:sz w:val="22"/>
        </w:rPr>
        <w:t>● CLASIFICACIÓN: IMPORTANTE</w:t>
      </w:r>
    </w:p>
    <w:tbl>
      <w:tblPr>
        <w:tblStyle w:val="TableGrid"/>
        <w:tblW w:type="auto" w:w="0"/>
        <w:tblLook w:firstColumn="1" w:firstRow="1" w:lastColumn="0" w:lastRow="0" w:noHBand="0" w:noVBand="1" w:val="04A0"/>
      </w:tblPr>
      <w:tblGrid>
        <w:gridCol w:w="9406"/>
      </w:tblGrid>
      <w:tr>
        <w:tc>
          <w:tcPr>
            <w:tcW w:type="dxa" w:w="9406"/>
            <w:shd w:val="clear" w:color="auto" w:fill="FFF8E1"/>
          </w:tcPr>
          <w:p/>
          <w:p>
            <w:r>
              <w:rPr>
                <w:sz w:val="19"/>
              </w:rPr>
              <w:t>Este artículo constituye un aporte importante al proyecto Rionegro por su metodología multinivel innovadora que combina análisis de redes, capacidad organizacional y habilidades individuales. Su principal contribución radica en las celdas AO, AS y OO, proporcionando indicadores concretos y operacionalizables para medir infraestructura organizacional, recursos departamentales y capacidad sistémica de información. La identificación de brechas mandato-recursos como restricción estructural fundamental conecta directamente con las preguntas P1 y P3 del proyecto. Sin embargo, su enfoque en contextos weberianos consolidados limita su aplicabilidad directa a Rionegro, requiriendo adaptaciones metodológicas significativas para contextos de alta dependencia de contratistas y menor institucionalización burocrática.</w:t>
            </w:r>
          </w:p>
        </w:tc>
      </w:tr>
    </w:tbl>
    <w:p/>
    <w:p>
      <w:pPr>
        <w:jc w:val="right"/>
      </w:pPr>
      <w:r>
        <w:rPr>
          <w:i/>
          <w:color w:val="999999"/>
          <w:sz w:val="16"/>
        </w:rPr>
        <w:t>Ficha generada automáticamente · 09/04/2026 · Proyecto Capacidades Rionegro · PCF Wu et al. · v2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