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332"/>
          <w:sz w:val="28"/>
        </w:rPr>
        <w:t>FICHA DE LECTURA — CAPACIDADES DE POLÍTICA PÚBLICA</w:t>
      </w:r>
    </w:p>
    <w:p>
      <w:pPr>
        <w:jc w:val="center"/>
      </w:pPr>
      <w:r>
        <w:rPr>
          <w:i/>
          <w:color w:val="666666"/>
          <w:sz w:val="20"/>
        </w:rPr>
        <w:t>Proyecto: Medición de capacidades — Municipio de Rionegro, Antioquia</w:t>
      </w:r>
    </w:p>
    <w:p>
      <w:pPr>
        <w:jc w:val="center"/>
      </w:pPr>
      <w:r>
        <w:rPr>
          <w:i/>
          <w:sz w:val="22"/>
        </w:rPr>
        <w:t>Eckersley, P., &amp; Tobin, P. (2019). The impact of austerity on policy capacity in local government. Policy &amp; Politics. https://doi.org/10.1332/030557319X15613701303511</w:t>
      </w:r>
    </w:p>
    <w:p>
      <w:pPr>
        <w:jc w:val="center"/>
      </w:pPr>
      <w:r>
        <w:rPr>
          <w:b/>
          <w:color w:val="1B4332"/>
          <w:sz w:val="22"/>
        </w:rPr>
        <w:t>●  ● Puntaje matriz: 0/27</w:t>
      </w:r>
    </w:p>
    <w:p/>
    <w:p>
      <w:pPr>
        <w:pStyle w:val="Heading1"/>
      </w:pPr>
      <w:r>
        <w:rPr>
          <w:color w:val="1B4332"/>
        </w:rPr>
        <w:t>PARTE I — FICHA GENÉRICA DEL ARTÍCULO</w:t>
      </w:r>
    </w:p>
    <w:p>
      <w:pPr>
        <w:pStyle w:val="Heading2"/>
      </w:pPr>
      <w:r>
        <w:rPr>
          <w:color w:val="1B4332"/>
        </w:rPr>
        <w:t>1 | Referencia bibliográfica (APA 7)</w:t>
      </w:r>
    </w:p>
    <w:p>
      <w:r>
        <w:rPr>
          <w:sz w:val="20"/>
        </w:rPr>
        <w:t>Eckersley, P., &amp; Tobin, P. (2019). The impact of austerity on policy capacity in local government. Policy &amp; Politics. https://doi.org/10.1332/030557319X15613701303511</w:t>
      </w:r>
    </w:p>
    <w:p>
      <w:pPr>
        <w:pStyle w:val="Heading2"/>
      </w:pPr>
      <w:r>
        <w:rPr>
          <w:color w:val="1B4332"/>
        </w:rPr>
        <w:t>2 | Objetivo explícito del autor</w:t>
      </w:r>
    </w:p>
    <w:p>
      <w:r>
        <w:rPr>
          <w:sz w:val="20"/>
        </w:rPr>
        <w:t>El estudio busca analizar cómo las políticas de austeridad han afectado la capacidad de políticas públicas en el gobierno local, específicamente examinando el debilitamiento de las funciones de "back-office" en política ambiental. Los autores proponen un enfoque teórico que combina la literatura de desmantelamiento de políticas con la gestión de recortes para proporcionar una comprensión más completa del cambio de políticas.</w:t>
      </w:r>
    </w:p>
    <w:p>
      <w:pPr>
        <w:ind w:left="567" w:right="567"/>
      </w:pPr>
      <w:r>
        <w:rPr>
          <w:i/>
          <w:color w:val="444444"/>
          <w:sz w:val="19"/>
        </w:rPr>
        <w:t>""Drawing on fieldwork in two English cities, we show how 'dismantling by arena shifting' can provide a more nuanced understanding of national-local interaction and policy change" (p. 1)"</w:t>
      </w:r>
    </w:p>
    <w:p>
      <w:pPr>
        <w:pStyle w:val="Heading2"/>
      </w:pPr>
      <w:r>
        <w:rPr>
          <w:color w:val="1B4332"/>
        </w:rPr>
        <w:t>3 | Pregunta de investigación</w:t>
      </w:r>
    </w:p>
    <w:p>
      <w:pPr>
        <w:ind w:left="567" w:right="567"/>
      </w:pPr>
      <w:r>
        <w:rPr>
          <w:i/>
          <w:color w:val="444444"/>
          <w:sz w:val="19"/>
        </w:rPr>
        <w:t>"¿Cómo puede la combinación de perspectivas de desmantelamiento de políticas y gestión de recortes crear un relato más completo de cómo las políticas pueden estar cambiando bajo condiciones de austeridad? (reconstruida del texto introductorio)"</w:t>
      </w:r>
    </w:p>
    <w:p>
      <w:pPr>
        <w:pStyle w:val="Heading2"/>
      </w:pPr>
      <w:r>
        <w:rPr>
          <w:color w:val="1B4332"/>
        </w:rPr>
        <w:t>4 | Tesis central</w:t>
      </w:r>
    </w:p>
    <w:p>
      <w:r>
        <w:rPr>
          <w:sz w:val="20"/>
        </w:rPr>
        <w:t>La dificultad para identificar el impacto de la austeridad en las políticas públicas surge porque los estudios se enfocan en legislación nacional o respuestas presupuestarias, en lugar de adoptar una visión holística de "política". El "desmantelamiento por cambio de arena" - ejemplificado por reducciones en la capacidad de política ambiental de "back-office" a nivel subnacional - permite una comprensión más matizada de la interacción nacional-local. Este enfoque es común porque permite a los formuladores de políticas proteger servicios "de primera línea" electoralmente populares, evitando culpas por decisiones impopulares. Sin embargo, puede tener impactos significativos a mediano plazo al dificultar el desarrollo, implementación y enforcement de políticas efectivas futuras.</w:t>
      </w:r>
    </w:p>
    <w:p>
      <w:pPr>
        <w:ind w:left="567" w:right="567"/>
      </w:pPr>
      <w:r>
        <w:rPr>
          <w:i/>
          <w:color w:val="444444"/>
          <w:sz w:val="19"/>
        </w:rPr>
        <w:t>""dismantling by arena shifting may have significant impacts over the medium-term, because reductions in 'back-office' functions may make it more difficult for subnational actors" (p. 1)"</w:t>
      </w:r>
    </w:p>
    <w:p>
      <w:pPr>
        <w:pStyle w:val="Heading2"/>
      </w:pPr>
      <w:r>
        <w:rPr>
          <w:color w:val="1B4332"/>
        </w:rPr>
        <w:t>5 | Marco teórico utilizado</w:t>
      </w:r>
    </w:p>
    <w:p>
      <w:r>
        <w:rPr>
          <w:sz w:val="20"/>
        </w:rPr>
        <w:t>1. **Teoría del desmantelamiento de políticas (Bauer et al., 2012)**: Tipología de cuatro tipos ideales de desmantelamiento diferenciados por visibilidad y deliberación</w:t>
        <w:br/>
        <w:t>2. **Gestión de recortes (Cutback management)**: Literatura sobre estrategias organizacionales y presupuestarias para enfrentar recursos reducidos</w:t>
        <w:br/>
        <w:t>3. **Capacidad de políticas públicas (Howlett y Lindquist, 2004)**: Habilidad del estado para dirigir recursos y hacer elecciones informadas sobre alternativas estratégicas</w:t>
        <w:br/>
        <w:t>4. **Teorías de evitación de culpa (Hood, 2010)**: Estrategias que emplean los formuladores de políticas para evitar responsabilidad por decisiones impopulares</w:t>
      </w:r>
    </w:p>
    <w:p>
      <w:pPr>
        <w:pStyle w:val="Heading2"/>
      </w:pPr>
      <w:r>
        <w:rPr>
          <w:color w:val="1B4332"/>
        </w:rPr>
        <w:t>7 | Conceptos clave</w:t>
      </w:r>
    </w:p>
    <w:p>
      <w:r>
        <w:rPr>
          <w:sz w:val="20"/>
        </w:rPr>
        <w:t>1. **Desmantelamiento por cambio de arena**: Desmantelamiento deliberado no altamente visible que involucra transferir responsabilidades a otra institución (p. 4)</w:t>
        <w:br/>
        <w:t>2. **Capacidad de políticas públicas**: Habilidad del estado para dirigir recursos y hacer elecciones inteligentes e informadas sobre alternativas estratégicas (p. 8)</w:t>
        <w:br/>
        <w:t>3. **Capacidad analítica**: Habilidad de generar conocimiento desde información relevante para políticas y usarla para informar la toma de decisiones (p. 8)</w:t>
        <w:br/>
        <w:t>4. **Elección inteligente**: Indicador central de capacidad de políticas que requiere personal experto, recursos financieros y continuidad organizacional (p. 8)</w:t>
        <w:br/>
        <w:t>5. **Funciones de back-office**: Funciones administrativas realizadas a distancia tanto del gobierno central como de la entrega de servicios de primera línea (p. 5)</w:t>
        <w:br/>
        <w:t>6. **Políticas zombies**: Políticas que mantienen requisitos legislativos pero carecen de recursos para implementación y enforcement efectivos (p. 3)</w:t>
      </w:r>
    </w:p>
    <w:p>
      <w:pPr>
        <w:pStyle w:val="Heading2"/>
      </w:pPr>
      <w:r>
        <w:rPr>
          <w:color w:val="1B4332"/>
        </w:rPr>
        <w:t>8 | Reconstrucción analítica del argumento</w:t>
      </w:r>
    </w:p>
    <w:p>
      <w:r>
        <w:rPr>
          <w:sz w:val="20"/>
        </w:rPr>
        <w:t>Los autores argumentan que el desmantelamiento de políticas ha sido difícil de identificar porque los estudios buscan en el lugar equivocado (gobiernos nacionales/EU) y el tipo equivocado (estándares regulatorios vs. capacidades). Proponen que el "desmantelamiento por cambio de arena" mediante la reducción de capacidades de back-office a nivel local es una estrategia común pero poco visible. Esta estrategia permite a los políticos nacionales reclamar crédito por reducir gasto público mientras evitan culpas, trasladando la responsabilidad a gobiernos locales que deben hacer recortes menos visibles en funciones de desarrollo, implementación y evaluación de políticas.</w:t>
      </w:r>
    </w:p>
    <w:p>
      <w:pPr>
        <w:pStyle w:val="Heading2"/>
      </w:pPr>
      <w:r>
        <w:rPr>
          <w:color w:val="1B4332"/>
        </w:rPr>
        <w:t>10 | Aportes principales</w:t>
      </w:r>
    </w:p>
    <w:p>
      <w:r>
        <w:rPr>
          <w:sz w:val="20"/>
        </w:rPr>
        <w:t>1. Desarrollo de un marco teórico integrado que combina literatura de desmantelamiento de políticas con gestión de recortes</w:t>
        <w:br/>
        <w:t>2. Identificación del nivel subnacional como terreno fértil para examinar desmantelamiento de políticas</w:t>
        <w:br/>
        <w:t>3. Conceptualización del "desmantelamiento por cambio de arena" mediante reducción de capacidades de back-office</w:t>
        <w:br/>
        <w:t>4. Explicación de por qué estudios previos no han encontrado evidencia de desmantelamiento (buscan en lugar y tipo equivocados)</w:t>
        <w:br/>
        <w:t>5. Aplicación empírica del concepto de capacidad de políticas al contexto de austeridad local</w:t>
      </w:r>
    </w:p>
    <w:p>
      <w:pPr>
        <w:pStyle w:val="Heading2"/>
      </w:pPr>
      <w:r>
        <w:rPr>
          <w:color w:val="1B4332"/>
        </w:rPr>
        <w:t>11 | Limitaciones</w:t>
      </w:r>
    </w:p>
    <w:p>
      <w:r>
        <w:rPr>
          <w:sz w:val="20"/>
        </w:rPr>
        <w:t>El extracto no proporciona limitaciones explícitas reconocidas por los autores. Las limitaciones metodológicas específicas y reconocimiento de restricciones del estudio no están disponibles en la porción del texto proporcionada.</w:t>
      </w:r>
    </w:p>
    <w:p>
      <w:pPr>
        <w:pStyle w:val="Heading2"/>
      </w:pPr>
      <w:r>
        <w:rPr>
          <w:color w:val="1B4332"/>
        </w:rPr>
        <w:t>12 | Conexión con debates mayores</w:t>
      </w:r>
    </w:p>
    <w:p>
      <w:r>
        <w:rPr>
          <w:sz w:val="20"/>
        </w:rPr>
        <w:t>El estudio se conecta con debates sobre descentralización y relaciones intergubernamentales al examinar cómo las decisiones nacionales de austeridad afectan capacidades locales. Se vincula con literatura de state capacity al analizar el debilitamiento de capacidades estatales a nivel subnacional. Contribuye a debates sobre gobernanza multinivel al mostrar cómo se transfieren responsabilidades entre niveles de gobierno. También se relaciona con discusiones sobre NPM mediante el análisis de estrategias de reducción de funciones administrativas de back-office.</w:t>
      </w:r>
    </w:p>
    <w:p>
      <w:pPr>
        <w:pStyle w:val="Heading2"/>
      </w:pPr>
      <w:r>
        <w:rPr>
          <w:color w:val="1B4332"/>
        </w:rPr>
        <w:t>13 | Observaciones críticas propias</w:t>
      </w:r>
    </w:p>
    <w:p>
      <w:r>
        <w:rPr>
          <w:sz w:val="20"/>
        </w:rPr>
        <w:t>El marco teórico, aunque innovador, podría beneficiarse de mayor especificación sobre los mecanismos causales que vinculan austeridad nacional con cambios específicos en capacidad local. Los autores asumen que las reducciones de back-office son estratégicas, pero podrían explorar más la distinción entre desmantelamiento deliberado versus consecuencias no intencionadas. La selección de política ambiental como caso de estudio requiere mayor justificación sobre su representatividad para otros sectores de política. El enfoque en el contexto inglés limita la generalización a otros sistemas de gobierno local con diferentes marcos institucionales.</w:t>
      </w:r>
    </w:p>
    <w:p>
      <w:pPr>
        <w:pStyle w:val="Heading2"/>
      </w:pPr>
      <w:r>
        <w:rPr>
          <w:color w:val="1B4332"/>
        </w:rPr>
        <w:t>6 | Tipo de investigación y metodología</w:t>
      </w:r>
    </w:p>
    <w:p>
      <w:r>
        <w:rPr>
          <w:b/>
          <w:sz w:val="20"/>
        </w:rPr>
        <w:t xml:space="preserve">Diseño: </w:t>
      </w:r>
      <w:r>
        <w:rPr>
          <w:sz w:val="20"/>
        </w:rPr>
        <w:t>Estudio de caso cualitativo comparativo</w:t>
      </w:r>
    </w:p>
    <w:p>
      <w:r>
        <w:rPr>
          <w:b/>
          <w:sz w:val="20"/>
        </w:rPr>
        <w:t xml:space="preserve">Universo: </w:t>
      </w:r>
      <w:r>
        <w:rPr>
          <w:sz w:val="20"/>
        </w:rPr>
        <w:t>Gobiernos locales ingleses bajo austeridad post-2010</w:t>
      </w:r>
    </w:p>
    <w:p>
      <w:r>
        <w:rPr>
          <w:b/>
          <w:sz w:val="20"/>
        </w:rPr>
        <w:t xml:space="preserve">Muestra: </w:t>
      </w:r>
      <w:r>
        <w:rPr>
          <w:sz w:val="20"/>
        </w:rPr>
        <w:t>Dos ciudades inglesas (no especificadas en el extracto)</w:t>
      </w:r>
    </w:p>
    <w:p>
      <w:r>
        <w:rPr>
          <w:b/>
          <w:sz w:val="20"/>
        </w:rPr>
        <w:t xml:space="preserve">Instrumentos: </w:t>
      </w:r>
      <w:r>
        <w:rPr>
          <w:sz w:val="20"/>
        </w:rPr>
        <w:t>Trabajo de campo (fieldwork) - métodos específicos no detallados en el extracto</w:t>
      </w:r>
    </w:p>
    <w:p>
      <w:r>
        <w:rPr>
          <w:b/>
          <w:sz w:val="20"/>
        </w:rPr>
        <w:t xml:space="preserve">Variable dependiente: </w:t>
      </w:r>
      <w:r>
        <w:rPr>
          <w:sz w:val="20"/>
        </w:rPr>
        <w:t>Capacidad de política ambiental local</w:t>
      </w:r>
    </w:p>
    <w:p>
      <w:r>
        <w:rPr>
          <w:b/>
          <w:sz w:val="20"/>
        </w:rPr>
        <w:t xml:space="preserve">Variables independientes: </w:t>
      </w:r>
      <w:r>
        <w:rPr>
          <w:sz w:val="20"/>
        </w:rPr>
        <w:t>Políticas de austeridad, reducciones presupuestarias</w:t>
      </w:r>
    </w:p>
    <w:p>
      <w:r>
        <w:rPr>
          <w:b/>
          <w:sz w:val="20"/>
        </w:rPr>
        <w:t xml:space="preserve">Análisis: </w:t>
      </w:r>
      <w:r>
        <w:rPr>
          <w:sz w:val="20"/>
        </w:rPr>
        <w:t>Análisis cualitativo de cambios en funciones de back-office</w:t>
      </w:r>
    </w:p>
    <w:p>
      <w:r>
        <w:rPr>
          <w:b/>
          <w:sz w:val="20"/>
        </w:rPr>
        <w:t xml:space="preserve">País/Nivel de gobierno: </w:t>
      </w:r>
      <w:r>
        <w:rPr>
          <w:sz w:val="20"/>
        </w:rPr>
        <w:t>Inglaterra, nivel de gobierno local</w:t>
      </w:r>
    </w:p>
    <w:p>
      <w:pPr>
        <w:pStyle w:val="Heading2"/>
      </w:pPr>
      <w:r>
        <w:rPr>
          <w:color w:val="1B4332"/>
        </w:rPr>
        <w:t>9 | Evidencia empírica / estadística</w:t>
      </w:r>
    </w:p>
    <w:p>
      <w:r>
        <w:rPr>
          <w:sz w:val="20"/>
        </w:rPr>
        <w:t>El extracto no proporciona evidencia empírica específica, pero indica que el análisis se basa en trabajo de campo en dos ciudades inglesas. Los autores prometen demostrar manifestaciones empíricas del desmantelamiento de políticas a través del debilitamiento de la capacidad de política ambiental local desde 2010. La evidencia detallada no está disponible en la porción del texto proporcionada.</w:t>
      </w:r>
    </w:p>
    <w:p>
      <w:pPr>
        <w:pStyle w:val="Heading2"/>
      </w:pPr>
      <w:r>
        <w:rPr>
          <w:color w:val="1B4332"/>
        </w:rPr>
        <w:t>14 | Conclusión analítica sintética</w:t>
      </w:r>
    </w:p>
    <w:tbl>
      <w:tblPr>
        <w:tblStyle w:val="TableGrid"/>
        <w:tblW w:type="auto" w:w="0"/>
        <w:tblLook w:firstColumn="1" w:firstRow="1" w:lastColumn="0" w:lastRow="0" w:noHBand="0" w:noVBand="1" w:val="04A0"/>
      </w:tblPr>
      <w:tblGrid>
        <w:gridCol w:w="9406"/>
      </w:tblGrid>
      <w:tr>
        <w:tc>
          <w:tcPr>
            <w:tcW w:type="dxa" w:w="9406"/>
            <w:shd w:val="clear" w:color="auto" w:fill="E8F5E9"/>
          </w:tcPr>
          <w:p/>
          <w:p>
            <w:r>
              <w:rPr>
                <w:sz w:val="19"/>
              </w:rPr>
              <w:t>Eckersley y Tobin ofrecen una contribución significativa al identificar cómo la austeridad puede desmantelar políticas públicas de manera sutil pero profunda a través de la reducción de capacidades de back-office en gobiernos locales. Su concepto de "desmantelamiento por cambio de arena" proporciona una lente analítica valiosa para comprender cómo los formuladores de políticas nacionales pueden transferir responsabilidades y evitar culpas mientras debilitan sistemáticamente la capacidad del estado para desarrollar e implementar políticas efectivas. El estudio revela tensiones importantes en la gobernanza multinivel, donde las decisiones de austeridad nacional crean efectos en cascada que pueden comprometer la capacidad de respuesta del estado a desafíos emergentes a largo plazo. Esta investigación tiene implicaciones importantes para comprender la sostenibilidad de la provisión de bienes públicos bajo condiciones de constricción fiscal, particularmente en áreas como política ambiental donde los efectos del debilitamiento de capacidades pueden no ser inmediatamente visibles pero sí acumulativamente significativos.</w:t>
            </w:r>
          </w:p>
        </w:tc>
      </w:tr>
    </w:tbl>
    <w:p/>
    <w:p>
      <w:r>
        <w:br w:type="page"/>
      </w:r>
    </w:p>
    <w:p>
      <w:pPr>
        <w:pStyle w:val="Heading1"/>
      </w:pPr>
      <w:r>
        <w:rPr>
          <w:color w:val="1B4332"/>
        </w:rPr>
        <w:t>PARTE II — FICHA AJUSTADA AL PROYECTO DE CAPACIDADES</w:t>
      </w:r>
    </w:p>
    <w:p>
      <w:r>
        <w:rPr>
          <w:i/>
          <w:sz w:val="20"/>
        </w:rPr>
        <w:t>Matriz de Wu et al. (2015/2018) aplicada a Rionegro, Antioquia</w:t>
      </w:r>
    </w:p>
    <w:p>
      <w:pPr>
        <w:pStyle w:val="Heading2"/>
      </w:pPr>
      <w:r>
        <w:rPr>
          <w:color w:val="1B4332"/>
        </w:rPr>
        <w:t>I | Mapeo a la Matriz de Capacidades (9 celdas)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B4332"/>
          </w:tcPr>
          <w:p>
            <w:r>
              <w:rPr>
                <w:b/>
                <w:color w:val="FFFFFF"/>
                <w:sz w:val="16"/>
              </w:rPr>
              <w:t>Nivel \ Competencia</w:t>
            </w:r>
          </w:p>
        </w:tc>
        <w:tc>
          <w:tcPr>
            <w:tcW w:type="dxa" w:w="2351"/>
            <w:shd w:val="clear" w:color="auto" w:fill="1B4332"/>
          </w:tcPr>
          <w:p>
            <w:r>
              <w:rPr>
                <w:b/>
                <w:color w:val="FFFFFF"/>
                <w:sz w:val="16"/>
              </w:rPr>
              <w:t>ANALÍTICA</w:t>
            </w:r>
          </w:p>
        </w:tc>
        <w:tc>
          <w:tcPr>
            <w:tcW w:type="dxa" w:w="2351"/>
            <w:shd w:val="clear" w:color="auto" w:fill="1B4332"/>
          </w:tcPr>
          <w:p>
            <w:r>
              <w:rPr>
                <w:b/>
                <w:color w:val="FFFFFF"/>
                <w:sz w:val="16"/>
              </w:rPr>
              <w:t>OPERATIVA</w:t>
            </w:r>
          </w:p>
        </w:tc>
        <w:tc>
          <w:tcPr>
            <w:tcW w:type="dxa" w:w="2351"/>
            <w:shd w:val="clear" w:color="auto" w:fill="1B4332"/>
          </w:tcPr>
          <w:p>
            <w:r>
              <w:rPr>
                <w:b/>
                <w:color w:val="FFFFFF"/>
                <w:sz w:val="16"/>
              </w:rPr>
              <w:t>POLÍTICA</w:t>
            </w:r>
          </w:p>
        </w:tc>
      </w:tr>
      <w:tr>
        <w:tc>
          <w:tcPr>
            <w:tcW w:type="dxa" w:w="2351"/>
            <w:shd w:val="clear" w:color="auto" w:fill="D8F3DC"/>
          </w:tcPr>
          <w:p>
            <w:r>
              <w:rPr>
                <w:b/>
                <w:sz w:val="16"/>
              </w:rPr>
              <w:t>INDIVIDUAL</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r>
      <w:tr>
        <w:tc>
          <w:tcPr>
            <w:tcW w:type="dxa" w:w="2351"/>
            <w:shd w:val="clear" w:color="auto" w:fill="D8F3DC"/>
          </w:tcPr>
          <w:p>
            <w:r>
              <w:rPr>
                <w:b/>
                <w:sz w:val="16"/>
              </w:rPr>
              <w:t>ORGANIZACIONAL</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r>
      <w:tr>
        <w:tc>
          <w:tcPr>
            <w:tcW w:type="dxa" w:w="2351"/>
            <w:shd w:val="clear" w:color="auto" w:fill="D8F3DC"/>
          </w:tcPr>
          <w:p>
            <w:r>
              <w:rPr>
                <w:b/>
                <w:sz w:val="16"/>
              </w:rPr>
              <w:t>SISTÉMICO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r>
    </w:tbl>
    <w:p/>
    <w:p/>
    <w:p>
      <w:pPr>
        <w:pStyle w:val="Heading2"/>
      </w:pPr>
      <w:r>
        <w:rPr>
          <w:color w:val="1B4332"/>
        </w:rPr>
        <w:t>II | Indicadores operacionalizables extraídos</w:t>
      </w:r>
    </w:p>
    <w:tbl>
      <w:tblPr>
        <w:tblStyle w:val="TableGrid"/>
        <w:tblW w:type="auto" w:w="0"/>
        <w:tblLook w:firstColumn="1" w:firstRow="1" w:lastColumn="0" w:lastRow="0" w:noHBand="0" w:noVBand="1" w:val="04A0"/>
      </w:tblPr>
      <w:tblGrid>
        <w:gridCol w:w="9406"/>
      </w:tblGrid>
      <w:tr>
        <w:tc>
          <w:tcPr>
            <w:tcW w:type="dxa" w:w="9406"/>
            <w:shd w:val="clear" w:color="auto" w:fill="E3F2FD"/>
          </w:tcPr>
          <w:p/>
          <w:p>
            <w:r>
              <w:rPr>
                <w:b/>
                <w:color w:val="1B4332"/>
                <w:sz w:val="20"/>
              </w:rPr>
              <w:t>Indicadores para instrumento de medición</w:t>
            </w:r>
          </w:p>
          <w:p/>
        </w:tc>
      </w:tr>
    </w:tbl>
    <w:p/>
    <w:p>
      <w:pPr>
        <w:pStyle w:val="Heading2"/>
      </w:pPr>
      <w:r>
        <w:rPr>
          <w:color w:val="1B4332"/>
        </w:rPr>
        <w:t>III | Variables, escalas e ítems de encuesta</w:t>
      </w:r>
    </w:p>
    <w:tbl>
      <w:tblPr>
        <w:tblStyle w:val="TableGrid"/>
        <w:tblW w:type="auto" w:w="0"/>
        <w:tblLook w:firstColumn="1" w:firstRow="1" w:lastColumn="0" w:lastRow="0" w:noHBand="0" w:noVBand="1" w:val="04A0"/>
      </w:tblPr>
      <w:tblGrid>
        <w:gridCol w:w="9406"/>
      </w:tblGrid>
      <w:tr>
        <w:tc>
          <w:tcPr>
            <w:tcW w:type="dxa" w:w="9406"/>
            <w:shd w:val="clear" w:color="auto" w:fill="F3E5F5"/>
          </w:tcPr>
          <w:p/>
          <w:p>
            <w:r>
              <w:rPr>
                <w:b/>
                <w:color w:val="1B4332"/>
                <w:sz w:val="20"/>
              </w:rPr>
              <w:t>Ítems extraíbles para instrumento Rionegro</w:t>
            </w:r>
          </w:p>
          <w:p/>
        </w:tc>
      </w:tr>
    </w:tbl>
    <w:p/>
    <w:p>
      <w:pPr>
        <w:pStyle w:val="Heading2"/>
      </w:pPr>
      <w:r>
        <w:rPr>
          <w:color w:val="1B4332"/>
        </w:rPr>
        <w:t>IV | Intervenciones de Capacity Building</w:t>
      </w:r>
    </w:p>
    <w:tbl>
      <w:tblPr>
        <w:tblStyle w:val="TableGrid"/>
        <w:tblW w:type="auto" w:w="0"/>
        <w:tblLook w:firstColumn="1" w:firstRow="1" w:lastColumn="0" w:lastRow="0" w:noHBand="0" w:noVBand="1" w:val="04A0"/>
      </w:tblPr>
      <w:tblGrid>
        <w:gridCol w:w="9406"/>
      </w:tblGrid>
      <w:tr>
        <w:tc>
          <w:tcPr>
            <w:tcW w:type="dxa" w:w="9406"/>
            <w:shd w:val="clear" w:color="auto" w:fill="FFF3E0"/>
          </w:tcPr>
          <w:p/>
          <w:p/>
        </w:tc>
      </w:tr>
    </w:tbl>
    <w:p/>
    <w:p>
      <w:pPr>
        <w:pStyle w:val="Heading2"/>
      </w:pPr>
      <w:r>
        <w:rPr>
          <w:color w:val="1B4332"/>
        </w:rPr>
        <w:t>V | Cadena causal: Intervención → Capacidad</w:t>
      </w:r>
    </w:p>
    <w:tbl>
      <w:tblPr>
        <w:tblStyle w:val="TableGrid"/>
        <w:tblW w:type="auto" w:w="0"/>
        <w:tblLook w:firstColumn="1" w:firstRow="1" w:lastColumn="0" w:lastRow="0" w:noHBand="0" w:noVBand="1" w:val="04A0"/>
      </w:tblPr>
      <w:tblGrid>
        <w:gridCol w:w="9406"/>
      </w:tblGrid>
      <w:tr>
        <w:tc>
          <w:tcPr>
            <w:tcW w:type="dxa" w:w="9406"/>
            <w:shd w:val="clear" w:color="auto" w:fill="FCE4EC"/>
          </w:tcPr>
          <w:p/>
          <w:p>
            <w:r>
              <w:rPr>
                <w:b/>
                <w:color w:val="1B4332"/>
                <w:sz w:val="20"/>
              </w:rPr>
              <w:t>Intervención → Mecanismo → Celda → Moderador</w:t>
            </w:r>
          </w:p>
          <w:p/>
        </w:tc>
      </w:tr>
    </w:tbl>
    <w:p/>
    <w:p>
      <w:pPr>
        <w:pStyle w:val="Heading2"/>
      </w:pPr>
      <w:r>
        <w:rPr>
          <w:color w:val="1B4332"/>
        </w:rPr>
        <w:t>VI | Condiciones estructurales (facilitadoras/inhibidoras)</w:t>
      </w:r>
    </w:p>
    <w:p/>
    <w:p>
      <w:pPr>
        <w:pStyle w:val="Heading2"/>
      </w:pPr>
      <w:r>
        <w:rPr>
          <w:color w:val="1B4332"/>
        </w:rPr>
        <w:t>VII | Comparabilidad contextual con Rionegro</w:t>
      </w:r>
    </w:p>
    <w:p>
      <w:pPr>
        <w:pStyle w:val="Heading2"/>
      </w:pPr>
      <w:r>
        <w:rPr>
          <w:color w:val="1B4332"/>
        </w:rPr>
        <w:t>VIII | Conexión con las 4 preguntas empíricas</w:t>
      </w:r>
    </w:p>
    <w:p>
      <w:pPr>
        <w:pStyle w:val="Heading2"/>
      </w:pPr>
      <w:r>
        <w:rPr>
          <w:color w:val="1B4332"/>
        </w:rPr>
        <w:t>IX | Citas estratégicas categorizadas</w:t>
      </w:r>
    </w:p>
    <w:p>
      <w:pPr>
        <w:pStyle w:val="Heading3"/>
      </w:pPr>
      <w:r>
        <w:rPr>
          <w:color w:val="4A148C"/>
        </w:rPr>
        <w:t>Para Marco Teórico</w:t>
      </w:r>
    </w:p>
    <w:p>
      <w:pPr>
        <w:pStyle w:val="Heading3"/>
      </w:pPr>
      <w:r>
        <w:rPr>
          <w:color w:val="0D47A1"/>
        </w:rPr>
        <w:t>Para Metodología</w:t>
      </w:r>
    </w:p>
    <w:p>
      <w:pPr>
        <w:pStyle w:val="Heading3"/>
      </w:pPr>
      <w:r>
        <w:rPr>
          <w:color w:val="BF360C"/>
        </w:rPr>
        <w:t>Para Discusión</w:t>
      </w:r>
    </w:p>
    <w:p>
      <w:pPr>
        <w:pStyle w:val="Heading2"/>
      </w:pPr>
      <w:r>
        <w:rPr>
          <w:color w:val="1B4332"/>
        </w:rPr>
        <w:t>X | Vacíos estratégicos</w:t>
      </w:r>
    </w:p>
    <w:p/>
    <w:p>
      <w:pPr>
        <w:pStyle w:val="Heading2"/>
      </w:pPr>
      <w:r>
        <w:rPr>
          <w:color w:val="1B4332"/>
        </w:rPr>
        <w:t>XI | Evaluación final estratégica</w:t>
      </w:r>
    </w:p>
    <w:p>
      <w:r>
        <w:rPr>
          <w:b/>
          <w:color w:val="1B4332"/>
          <w:sz w:val="22"/>
        </w:rPr>
        <w:t xml:space="preserve">● CLASIFICACIÓN: </w:t>
      </w:r>
    </w:p>
    <w:tbl>
      <w:tblPr>
        <w:tblStyle w:val="TableGrid"/>
        <w:tblW w:type="auto" w:w="0"/>
        <w:tblLook w:firstColumn="1" w:firstRow="1" w:lastColumn="0" w:lastRow="0" w:noHBand="0" w:noVBand="1" w:val="04A0"/>
      </w:tblPr>
      <w:tblGrid>
        <w:gridCol w:w="9406"/>
      </w:tblGrid>
      <w:tr>
        <w:tc>
          <w:tcPr>
            <w:tcW w:type="dxa" w:w="9406"/>
            <w:shd w:val="clear" w:color="auto" w:fill="FFF8E1"/>
          </w:tcPr>
          <w:p/>
          <w:p/>
        </w:tc>
      </w:tr>
    </w:tbl>
    <w:p/>
    <w:p>
      <w:pPr>
        <w:jc w:val="right"/>
      </w:pPr>
      <w:r>
        <w:rPr>
          <w:i/>
          <w:color w:val="999999"/>
          <w:sz w:val="16"/>
        </w:rPr>
        <w:t>Ficha generada automáticamente · 09/04/2026 · Proyecto Capacidades Rionegro · PCF Wu et al. · v2</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