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Capano, G., &amp; Howlett, M. (Eds.). (2020). A modern guide to public policy. Edward Elgar Publishing.</w:t>
      </w:r>
    </w:p>
    <w:p>
      <w:pPr>
        <w:jc w:val="center"/>
      </w:pPr>
      <w:r>
        <w:rPr>
          <w:b/>
          <w:color w:val="1B5E20"/>
          <w:sz w:val="22"/>
        </w:rPr>
        <w:t>● FUNDAMENTAL ● Puntaje matriz: 16/27</w:t>
      </w:r>
    </w:p>
    <w:p/>
    <w:p>
      <w:pPr>
        <w:pStyle w:val="Heading1"/>
      </w:pPr>
      <w:r>
        <w:rPr>
          <w:color w:val="1B4332"/>
        </w:rPr>
        <w:t>PARTE I — FICHA GENÉRICA DEL ARTÍCULO</w:t>
      </w:r>
    </w:p>
    <w:p>
      <w:pPr>
        <w:pStyle w:val="Heading2"/>
      </w:pPr>
      <w:r>
        <w:rPr>
          <w:color w:val="1B4332"/>
        </w:rPr>
        <w:t>1 | Referencia bibliográfica (APA 7)</w:t>
      </w:r>
    </w:p>
    <w:p>
      <w:r>
        <w:rPr>
          <w:sz w:val="20"/>
        </w:rPr>
        <w:t>Capano, G., &amp; Howlett, M. (Eds.). (2020). A modern guide to public policy. Edward Elgar Publishing.</w:t>
      </w:r>
    </w:p>
    <w:p>
      <w:pPr>
        <w:pStyle w:val="Heading2"/>
      </w:pPr>
      <w:r>
        <w:rPr>
          <w:color w:val="1B4332"/>
        </w:rPr>
        <w:t>2 | Objetivo explícito del autor</w:t>
      </w:r>
    </w:p>
    <w:p>
      <w:r>
        <w:rPr>
          <w:sz w:val="20"/>
        </w:rPr>
        <w:t>Este libro busca ofrecer una guía curada y completa del campo de las políticas públicas para estudiantes avanzados e investigadores académicos. Proporciona una evaluación del panorama actual de investigación, ofreciendo discusiones del estado del arte y revisiones selectivas que cubren temas críticos junto con desarrollos recientes en el campo.</w:t>
      </w:r>
    </w:p>
    <w:p>
      <w:pPr>
        <w:ind w:left="567" w:right="567"/>
      </w:pPr>
      <w:r>
        <w:rPr>
          <w:i/>
          <w:color w:val="444444"/>
          <w:sz w:val="19"/>
        </w:rPr>
        <w:t>""Survey the significant trends and issues of contemporary research for both advanced students and academic researchers" (p. introducción)"</w:t>
      </w:r>
    </w:p>
    <w:p>
      <w:pPr>
        <w:pStyle w:val="Heading2"/>
      </w:pPr>
      <w:r>
        <w:rPr>
          <w:color w:val="1B4332"/>
        </w:rPr>
        <w:t>3 | Pregunta de investigación</w:t>
      </w:r>
    </w:p>
    <w:p>
      <w:pPr>
        <w:ind w:left="567" w:right="567"/>
      </w:pPr>
      <w:r>
        <w:rPr>
          <w:i/>
          <w:color w:val="444444"/>
          <w:sz w:val="19"/>
        </w:rPr>
        <w:t>"¿Cuáles son los enfoques, conceptos, teorías y métodos contemporáneos más relevantes para comprender los procesos de elaboración de políticas públicas en su complejidad multifacética y multinivel?"</w:t>
      </w:r>
    </w:p>
    <w:p>
      <w:pPr>
        <w:pStyle w:val="Heading2"/>
      </w:pPr>
      <w:r>
        <w:rPr>
          <w:color w:val="1B4332"/>
        </w:rPr>
        <w:t>4 | Tesis central</w:t>
      </w:r>
    </w:p>
    <w:p>
      <w:r>
        <w:rPr>
          <w:sz w:val="20"/>
        </w:rPr>
        <w:t>Las políticas públicas constituyen un campo interdisciplinario relativamente nuevo que representa un cambio paradigmático hacia un enfoque centrado en problemas para estudiar gobiernos y gobernanza. Este campo ha evolucionado desde sus orígenes en análisis económico hacia enfoques más diversos que reconocen la naturaleza compleja, multinivel y contestada de la elaboración de políticas. La comprensión contemporánea de las políticas públicas requiere examinar no solo las estructuras gubernamentales, sino también el comportamiento de actores políticos diversos en contextos complejos donde interactúan, negocian y entran en conflicto para resolver problemas colectivos.</w:t>
      </w:r>
    </w:p>
    <w:p>
      <w:pPr>
        <w:ind w:left="567" w:right="567"/>
      </w:pPr>
      <w:r>
        <w:rPr>
          <w:i/>
          <w:color w:val="444444"/>
          <w:sz w:val="19"/>
        </w:rPr>
        <w:t>""Focus upon the fundamental problems of man in society, rather than on the topical issues" (Lasswell, 1951, p. 8)"</w:t>
      </w:r>
    </w:p>
    <w:p>
      <w:pPr>
        <w:pStyle w:val="Heading2"/>
      </w:pPr>
      <w:r>
        <w:rPr>
          <w:color w:val="1B4332"/>
        </w:rPr>
        <w:t>5 | Marco teórico utilizado</w:t>
      </w:r>
    </w:p>
    <w:p>
      <w:r>
        <w:rPr>
          <w:sz w:val="20"/>
        </w:rPr>
        <w:t>1. **Ciencias de políticas públicas (Policy Sciences)**: Marco fundacional que enfatiza el enfoque centrado en problemas</w:t>
        <w:br/>
        <w:t>2. **Análisis institucional**: Examen de arreglos institucionales que caracterizan procesos de políticas</w:t>
        <w:br/>
        <w:t>3. **Teorías de actores múltiples**: Marcos que consideran la diversidad de actores en procesos de políticas</w:t>
        <w:br/>
        <w:t>4. **Enfoques de instrumentos de política**: Análisis de herramientas y capacidades gubernamentales</w:t>
        <w:br/>
        <w:t>5. **Teorías de cambio de políticas**: Marcos para entender evolución y transformación de políticas</w:t>
        <w:br/>
        <w:t>6. **Enfoques de gobernanza multinivel**: Consideración de niveles nacional, subnacional y global</w:t>
        <w:br/>
        <w:br/>
        <w:t>*Nota: No se identifica uso específico del PCF de Wu et al., pero se abordan elementos de capacidad estatal*</w:t>
      </w:r>
    </w:p>
    <w:p>
      <w:pPr>
        <w:pStyle w:val="Heading2"/>
      </w:pPr>
      <w:r>
        <w:rPr>
          <w:color w:val="1B4332"/>
        </w:rPr>
        <w:t>7 | Conceptos clave</w:t>
      </w:r>
    </w:p>
    <w:p>
      <w:r>
        <w:rPr>
          <w:sz w:val="20"/>
        </w:rPr>
        <w:t>1. **Políticas públicas** (p. 2): Campo interdisciplinario centrado en problemas fundamentales del hombre en sociedad</w:t>
        <w:br/>
        <w:t>2. **Ciencias de política** (p. 2): Enfoque que conecta procesos gubernamentales con cuestiones de justicia y equidad</w:t>
        <w:br/>
        <w:t>3. **Instrumentos de política** (contenido): Herramientas específicas utilizadas por gobiernos para abordar problemas</w:t>
        <w:br/>
        <w:t>4. **Capacidades de política** (contenido): Recursos y habilidades gubernamentales para formular e implementar políticas</w:t>
        <w:br/>
        <w:t>5. **Actores de política** (contenido): Diversos participantes en procesos de elaboración de políticas</w:t>
        <w:br/>
        <w:t>6. **Regímenes de política** (p. 4): Patrones duraderos de elaboración de políticas que emergen a largo plazo</w:t>
        <w:br/>
        <w:t>7. **Mecanismos de política** (contenido): Procesos causales que explican funcionamiento de políticas</w:t>
        <w:br/>
        <w:t>8. **Diseño de políticas** (contenido): Proceso deliberado de estructuración de intervenciones gubernamentales</w:t>
      </w:r>
    </w:p>
    <w:p>
      <w:pPr>
        <w:pStyle w:val="Heading2"/>
      </w:pPr>
      <w:r>
        <w:rPr>
          <w:color w:val="1B4332"/>
        </w:rPr>
        <w:t>8 | Reconstrucción analítica del argumento</w:t>
      </w:r>
    </w:p>
    <w:p>
      <w:r>
        <w:rPr>
          <w:sz w:val="20"/>
        </w:rPr>
        <w:t>La hipótesis central es que las políticas públicas requieren un enfoque multidisciplinario que trascienda perspectivas normativas tradicionales. Los editores argumentan que el campo ha evolucionado desde análisis económico restrictivo hacia enfoques más comprehensivos que reconocen la complejidad de la elaboración de políticas. El mecanismo causal propuesto sugiere que la comprensión efectiva de políticas requiere examinar actores múltiples, procesos complejos, instrumentos diversos y capacidades gubernamentales. Un hallazgo no esperado es la persistencia de patrones de política a largo plazo a pesar de la aparente variación infinita en prácticas de políticas.</w:t>
      </w:r>
    </w:p>
    <w:p>
      <w:pPr>
        <w:pStyle w:val="Heading2"/>
      </w:pPr>
      <w:r>
        <w:rPr>
          <w:color w:val="1B4332"/>
        </w:rPr>
        <w:t>10 | Aportes principales</w:t>
      </w:r>
    </w:p>
    <w:p>
      <w:r>
        <w:rPr>
          <w:sz w:val="20"/>
        </w:rPr>
        <w:t>1. Proporciona una síntesis comprehensiva del estado actual del campo de políticas públicas</w:t>
        <w:br/>
        <w:t>2. Integra perspectivas multidisciplinarias en un marco coherente para estudiosos y practicantes</w:t>
        <w:br/>
        <w:t>3. Ofrece herramientas analíticas prácticas para entender problemas de políticas y soluciones potenciales</w:t>
        <w:br/>
        <w:t>4. Establece conexiones entre enfoques teóricos diversos y aplicaciones prácticas</w:t>
        <w:br/>
        <w:t>5. Identifica patrones generales de elaboración de políticas a pesar de la variación contextual</w:t>
        <w:br/>
        <w:t>6. Proporciona base conceptual para evaluar fortalezas y debilidades de políticas en la era de programas públicos grandes</w:t>
      </w:r>
    </w:p>
    <w:p>
      <w:pPr>
        <w:pStyle w:val="Heading2"/>
      </w:pPr>
      <w:r>
        <w:rPr>
          <w:color w:val="1B4332"/>
        </w:rPr>
        <w:t>11 | Limitaciones</w:t>
      </w:r>
    </w:p>
    <w:p>
      <w:r>
        <w:rPr>
          <w:sz w:val="20"/>
        </w:rPr>
        <w:t>1. Reconoce la ausencia de metodología universalmente reconocida para analizar problemas de políticas</w:t>
        <w:br/>
        <w:t>2. Admite la naturaleza idiosincrática de oportunidades de políticas que requiere juicio pragmático</w:t>
        <w:br/>
        <w:t>3. Identifica la complejidad del campo que puede generar confusión y requiere explicación</w:t>
        <w:br/>
        <w:t>4. Reconoce la brecha entre teoría política normativa y prácticas políticas de estados modernos</w:t>
      </w:r>
    </w:p>
    <w:p>
      <w:pPr>
        <w:pStyle w:val="Heading2"/>
      </w:pPr>
      <w:r>
        <w:rPr>
          <w:color w:val="1B4332"/>
        </w:rPr>
        <w:t>12 | Conexión con debates mayores</w:t>
      </w:r>
    </w:p>
    <w:p>
      <w:r>
        <w:rPr>
          <w:sz w:val="20"/>
        </w:rPr>
        <w:t>El libro se conecta con debates contemporáneos sobre capacidad estatal al examinar recursos, capacidades y habilidades gubernamentales. Se relaciona con discusiones de gobernanza multinivel al considerar actores e instituciones operando en niveles nacional, subnacional y global. Contribuye al debate sobre Nueva Gestión Pública al examinar herramientas e instrumentos de política. Se conecta con literature de descentralización al abordar gobiernos subnacionales y sus procesos de elaboración de políticas.</w:t>
      </w:r>
    </w:p>
    <w:p>
      <w:pPr>
        <w:pStyle w:val="Heading2"/>
      </w:pPr>
      <w:r>
        <w:rPr>
          <w:color w:val="1B4332"/>
        </w:rPr>
        <w:t>13 | Observaciones críticas propias</w:t>
      </w:r>
    </w:p>
    <w:p>
      <w:r>
        <w:rPr>
          <w:sz w:val="20"/>
        </w:rPr>
        <w:t>Una tensión no completamente resuelta es la contradicción entre reconocer la naturaleza idiosincrática de políticas y la búsqueda de patrones generalizables. El supuesto de que enfoques multidisciplinarios necesariamente mejoran la comprensión no se problematiza suficientemente. La extensión sugerida sería desarrollar marcos más específicos para evaluar cuándo ciertos enfoques son más apropiados que otros. Falta mayor atención a cómo factores culturales y contextuales específicos pueden limitar la transferabilidad de conceptos y herramientas entre contextos diferentes.</w:t>
      </w:r>
    </w:p>
    <w:p>
      <w:pPr>
        <w:pStyle w:val="Heading2"/>
      </w:pPr>
      <w:r>
        <w:rPr>
          <w:color w:val="1B4332"/>
        </w:rPr>
        <w:t>6 | Tipo de investigación y metodología</w:t>
      </w:r>
    </w:p>
    <w:p>
      <w:r>
        <w:rPr>
          <w:b/>
          <w:sz w:val="20"/>
        </w:rPr>
        <w:t xml:space="preserve">Diseño: </w:t>
      </w:r>
      <w:r>
        <w:rPr>
          <w:sz w:val="20"/>
        </w:rPr>
        <w:t>Revisión académica estructurada y guía conceptual</w:t>
      </w:r>
    </w:p>
    <w:p>
      <w:r>
        <w:rPr>
          <w:b/>
          <w:sz w:val="20"/>
        </w:rPr>
        <w:t xml:space="preserve">Universo: </w:t>
      </w:r>
      <w:r>
        <w:rPr>
          <w:sz w:val="20"/>
        </w:rPr>
        <w:t>Literatura académica contemporánea en políticas públicas</w:t>
      </w:r>
    </w:p>
    <w:p>
      <w:r>
        <w:rPr>
          <w:b/>
          <w:sz w:val="20"/>
        </w:rPr>
        <w:t xml:space="preserve">Muestra: </w:t>
      </w:r>
      <w:r>
        <w:rPr>
          <w:sz w:val="20"/>
        </w:rPr>
        <w:t>Selección curada de enfoques y conceptos principales del campo</w:t>
      </w:r>
    </w:p>
    <w:p>
      <w:r>
        <w:rPr>
          <w:b/>
          <w:sz w:val="20"/>
        </w:rPr>
        <w:t xml:space="preserve">Instrumentos: </w:t>
      </w:r>
      <w:r>
        <w:rPr>
          <w:sz w:val="20"/>
        </w:rPr>
        <w:t>Revisión sistemática de literatura especializada</w:t>
      </w:r>
    </w:p>
    <w:p>
      <w:r>
        <w:rPr>
          <w:b/>
          <w:sz w:val="20"/>
        </w:rPr>
        <w:t xml:space="preserve">Variable dependiente: </w:t>
      </w:r>
      <w:r>
        <w:rPr>
          <w:sz w:val="20"/>
        </w:rPr>
        <w:t>Comprensión conceptual del campo de políticas públicas</w:t>
      </w:r>
    </w:p>
    <w:p>
      <w:r>
        <w:rPr>
          <w:b/>
          <w:sz w:val="20"/>
        </w:rPr>
        <w:t xml:space="preserve">Variables independientes: </w:t>
      </w:r>
      <w:r>
        <w:rPr>
          <w:sz w:val="20"/>
        </w:rPr>
        <w:t>No aplica (es una guía conceptual)</w:t>
      </w:r>
    </w:p>
    <w:p>
      <w:r>
        <w:rPr>
          <w:b/>
          <w:sz w:val="20"/>
        </w:rPr>
        <w:t xml:space="preserve">Análisis: </w:t>
      </w:r>
      <w:r>
        <w:rPr>
          <w:sz w:val="20"/>
        </w:rPr>
        <w:t>Síntesis teórica y conceptual</w:t>
      </w:r>
    </w:p>
    <w:p>
      <w:r>
        <w:rPr>
          <w:b/>
          <w:sz w:val="20"/>
        </w:rPr>
        <w:t xml:space="preserve">País/Nivel de gobierno: </w:t>
      </w:r>
      <w:r>
        <w:rPr>
          <w:sz w:val="20"/>
        </w:rPr>
        <w:t>Múltiples niveles (nacional, subnacional, internacional)</w:t>
      </w:r>
    </w:p>
    <w:p>
      <w:pPr>
        <w:pStyle w:val="Heading2"/>
      </w:pPr>
      <w:r>
        <w:rPr>
          <w:color w:val="1B4332"/>
        </w:rPr>
        <w:t>9 | Evidencia empírica / estadística</w:t>
      </w:r>
    </w:p>
    <w:p>
      <w:r>
        <w:rPr>
          <w:sz w:val="20"/>
        </w:rPr>
        <w:t>La evidencia se basa en la síntesis de múltiples estudios empíricos que demuestran: 1) Emergencia de patrones duraderos de elaboración de políticas; 2) Desarrollo de preferencias gubernamentales por tipos específicos de políticas; 3) Formación de regímenes de política relativamente estables; 4) Importancia de factores contextuales en procesos de políticas. La evidencia cualitativa incluye casos que ilustran la aplicación de herramientas analíticas en contextos específicos y la demostración de que "one size does not fit all" en términos de políticas resultantes.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volumen representa un esfuerzo comprehensivo por sistematizar el campo de políticas públicas, argumentando que su comprensión requiere enfoques multidisciplinarios que trasciendan perspectivas tradicionales centradas únicamente en estructuras gubernamentales. Los editores demuestran exitosamente cómo el campo ha evolucionado hacia una perspectiva más sofisticada que reconoce la complejidad de procesos de políticas, la diversidad de actores involucrados, y la importancia de capacidades gubernamentales y herramientas de política. La relevancia de esta obra radica en su capacidad para proporcionar tanto a académicos como practicantes un marco conceptual robusto para navegar la complejidad contemporánea de la elaboración de políticas. Su contribución principal es demostrar cómo enfoques centrados en problemas pueden conectar efectivamente el análisis académico con las necesidades prácticas de gobiernos y sociedades. El libro establece una base sólida para futuras investigaciones en el campo mientras ofrece herramientas analíticas inmediatamente aplicables a desafíos contemporáneos de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Desarrolla conceptos de conocimiento técnico y análisis para policy-making basado en evide</w:t>
            </w:r>
          </w:p>
        </w:tc>
        <w:tc>
          <w:tcPr>
            <w:tcW w:type="dxa" w:w="2351"/>
            <w:shd w:val="clear" w:color="auto" w:fill="C8E6C9"/>
          </w:tcPr>
          <w:p>
            <w:r>
              <w:rPr>
                <w:b/>
                <w:color w:val="2E7D32"/>
                <w:sz w:val="16"/>
              </w:rPr>
              <w:t xml:space="preserve">[2] </w:t>
            </w:r>
            <w:r>
              <w:rPr>
                <w:sz w:val="14"/>
              </w:rPr>
              <w:t>Detalla habilidades individuales de gestión y coordinación necesarias para implementación</w:t>
            </w:r>
          </w:p>
        </w:tc>
        <w:tc>
          <w:tcPr>
            <w:tcW w:type="dxa" w:w="2351"/>
            <w:shd w:val="clear" w:color="auto" w:fill="FFF9C4"/>
          </w:tcPr>
          <w:p>
            <w:r>
              <w:rPr>
                <w:b/>
                <w:color w:val="F57F17"/>
                <w:sz w:val="16"/>
              </w:rPr>
              <w:t xml:space="preserve">[1] </w:t>
            </w:r>
            <w:r>
              <w:rPr>
                <w:sz w:val="14"/>
              </w:rPr>
              <w:t>Menciona habilidades políticas individuales pero no las desarrolla conceptualmente</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Propone marcos para infraestructura analítica organizacional y memoria institucional</w:t>
            </w:r>
          </w:p>
        </w:tc>
        <w:tc>
          <w:tcPr>
            <w:tcW w:type="dxa" w:w="2351"/>
            <w:shd w:val="clear" w:color="auto" w:fill="2E7D32"/>
          </w:tcPr>
          <w:p>
            <w:r>
              <w:rPr>
                <w:b/>
                <w:color w:val="FFFFFF"/>
                <w:sz w:val="16"/>
              </w:rPr>
              <w:t xml:space="preserve">[3] </w:t>
            </w:r>
            <w:r>
              <w:rPr>
                <w:sz w:val="14"/>
              </w:rPr>
              <w:t>Desarrolla extensamente marcos de coordinación organizacional y capacidades institucionale</w:t>
            </w:r>
          </w:p>
        </w:tc>
        <w:tc>
          <w:tcPr>
            <w:tcW w:type="dxa" w:w="2351"/>
            <w:shd w:val="clear" w:color="auto" w:fill="C8E6C9"/>
          </w:tcPr>
          <w:p>
            <w:r>
              <w:rPr>
                <w:b/>
                <w:color w:val="2E7D32"/>
                <w:sz w:val="16"/>
              </w:rPr>
              <w:t xml:space="preserve">[2] </w:t>
            </w:r>
            <w:r>
              <w:rPr>
                <w:sz w:val="14"/>
              </w:rPr>
              <w:t>Propone marcos para reputación organizacional y acceso a decisores</w:t>
            </w:r>
          </w:p>
        </w:tc>
      </w:tr>
      <w:tr>
        <w:tc>
          <w:tcPr>
            <w:tcW w:type="dxa" w:w="2351"/>
            <w:shd w:val="clear" w:color="auto" w:fill="D8F3DC"/>
          </w:tcPr>
          <w:p>
            <w:r>
              <w:rPr>
                <w:b/>
                <w:sz w:val="16"/>
              </w:rPr>
              <w:t>SISTÉMICO</w:t>
            </w:r>
          </w:p>
        </w:tc>
        <w:tc>
          <w:tcPr>
            <w:tcW w:type="dxa" w:w="2351"/>
            <w:shd w:val="clear" w:color="auto" w:fill="FFF9C4"/>
          </w:tcPr>
          <w:p>
            <w:r>
              <w:rPr>
                <w:b/>
                <w:color w:val="F57F17"/>
                <w:sz w:val="16"/>
              </w:rPr>
              <w:t xml:space="preserve">[1] </w:t>
            </w:r>
            <w:r>
              <w:rPr>
                <w:sz w:val="14"/>
              </w:rPr>
              <w:t>Menciona sistemas de información y estadísticas pero no desarrolla</w:t>
            </w:r>
          </w:p>
        </w:tc>
        <w:tc>
          <w:tcPr>
            <w:tcW w:type="dxa" w:w="2351"/>
            <w:shd w:val="clear" w:color="auto" w:fill="C8E6C9"/>
          </w:tcPr>
          <w:p>
            <w:r>
              <w:rPr>
                <w:b/>
                <w:color w:val="2E7D32"/>
                <w:sz w:val="16"/>
              </w:rPr>
              <w:t xml:space="preserve">[2] </w:t>
            </w:r>
            <w:r>
              <w:rPr>
                <w:sz w:val="14"/>
              </w:rPr>
              <w:t>Analiza relaciones intergubernamentales y marcos legales como capacidades sistémicas</w:t>
            </w:r>
          </w:p>
        </w:tc>
        <w:tc>
          <w:tcPr>
            <w:tcW w:type="dxa" w:w="2351"/>
            <w:shd w:val="clear" w:color="auto" w:fill="FFF9C4"/>
          </w:tcPr>
          <w:p>
            <w:r>
              <w:rPr>
                <w:b/>
                <w:color w:val="F57F17"/>
                <w:sz w:val="16"/>
              </w:rPr>
              <w:t xml:space="preserve">[1] </w:t>
            </w:r>
            <w:r>
              <w:rPr>
                <w:sz w:val="14"/>
              </w:rPr>
              <w:t>Referencias tangenciales a legitimidad y confianza pública</w:t>
            </w:r>
          </w:p>
        </w:tc>
      </w:tr>
    </w:tbl>
    <w:p/>
    <w:p>
      <w:r>
        <w:rPr>
          <w:sz w:val="18"/>
        </w:rPr>
        <w:t>AI: 2 | Desarrolla conceptos de conocimiento técnico y análisis para policy-making basado en evidencia</w:t>
        <w:br/>
        <w:t>AO: 2 | Propone marcos para infraestructura analítica organizacional y memoria institucional</w:t>
        <w:br/>
        <w:t>AS: 1 | Menciona sistemas de información y estadísticas pero no desarrolla</w:t>
        <w:br/>
        <w:t>OI: 2 | Detalla habilidades individuales de gestión y coordinación necesarias para implementación</w:t>
        <w:br/>
        <w:t>OO: 3 | Desarrolla extensamente marcos de coordinación organizacional y capacidades institucionales</w:t>
        <w:br/>
        <w:t>OS: 2 | Analiza relaciones intergubernamentales y marcos legales como capacidades sistémicas</w:t>
        <w:br/>
        <w:t>PI: 1 | Menciona habilidades políticas individuales pero no las desarrolla conceptualmente</w:t>
        <w:br/>
        <w:t>PO: 2 | Propone marcos para reputación organizacional y acceso a decisores</w:t>
        <w:br/>
        <w:t>PS: 1 | Referencias tangenciales a legitimidad y confianza pública</w:t>
        <w:br/>
        <w:t>CELDAS_PRINCIPALES: OO, AI, AO</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ANCLAJE DURO: Marcos institucionales para coordinación, protocolos de análisis de políticas, sistemas de información organizacional</w:t>
              <w:br/>
              <w:t>ANCLAJE BLANDO: Transferencia de conocimiento interdisciplinario, desarrollo de cultura analítica, sensemaking en procesos de política</w:t>
              <w:br/>
              <w:t>REFORMA ESTRUCTURAL: Reorganización de capacidades analíticas, mejora de sistemas de información, fortalecimiento de coordinación intergubernamental</w:t>
              <w:br/>
              <w:t>OTRO: Enfoque integral de capacity building que combina elementos técnicos y organizacionales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Enfoque interdisciplinario → integración de conocimientos diversos → fortalecimiento capacidad analítica (AI) → sin condiciones moderadoras explícitas</w:t>
              <w:br/>
              <w:t>Marcos institucionales → mejora coordinación → aumento capacidad organizacional operativa (OO) → moderado por estabilidad institucional</w:t>
              <w:br/>
              <w:t>Cultura analítica → uso sistemático de evidencia → fortalecimiento capacidad analítica organizacional (AO) → moderado por recursos disponibles</w:t>
              <w:br/>
              <w:t>Problem-centered approach → alineación de recursos con problemas → mejora capacidad operativa (OI/OO) → sin condiciones especificadas</w:t>
            </w:r>
          </w:p>
        </w:tc>
      </w:tr>
    </w:tbl>
    <w:p/>
    <w:p>
      <w:pPr>
        <w:pStyle w:val="Heading2"/>
      </w:pPr>
      <w:r>
        <w:rPr>
          <w:color w:val="1B4332"/>
        </w:rPr>
        <w:t>VI | Condiciones estructurales (facilitadoras/inhibidoras)</w:t>
      </w:r>
    </w:p>
    <w:p>
      <w:r>
        <w:rPr>
          <w:sz w:val="20"/>
        </w:rPr>
        <w:t>FACILITADORES:</w:t>
        <w:br/>
        <w:t>- Enfoque interdisciplinario: Integración de múltiples disciplinas mejora capacidades analíticas</w:t>
        <w:br/>
        <w:t>- Institucionalización: Marcos institucionales sólidos facilitan coordinación y memoria organizacional</w:t>
        <w:br/>
        <w:t>- Orientación a problemas: Enfoque problem-centered mejora efectividad de políticas</w:t>
        <w:br/>
        <w:br/>
        <w:t>INHIBIDORES:</w:t>
        <w:br/>
        <w:t>- Fragmentación disciplinaria: Falta de integración entre enfoques limita capacidades analíticas</w:t>
        <w:br/>
        <w:t>- Debilidad institucional: Instituciones poco desarrolladas limitan capacidades organizacionales</w:t>
        <w:br/>
        <w:t>- Enfoque normativo tradicional: Perspectivas puramente normativas limitan análisis basado en evidencia</w:t>
      </w:r>
    </w:p>
    <w:p>
      <w:pPr>
        <w:pStyle w:val="Heading2"/>
      </w:pPr>
      <w:r>
        <w:rPr>
          <w:color w:val="1B4332"/>
        </w:rPr>
        <w:t>VII | Comparabilidad contextual con Rionegro</w:t>
      </w:r>
    </w:p>
    <w:p>
      <w:r>
        <w:rPr>
          <w:b/>
          <w:sz w:val="20"/>
        </w:rPr>
        <w:t xml:space="preserve">País: </w:t>
      </w:r>
      <w:r>
        <w:rPr>
          <w:sz w:val="20"/>
        </w:rPr>
        <w:t>Múltiples (marco conceptual general)</w:t>
      </w:r>
    </w:p>
    <w:p>
      <w:r>
        <w:rPr>
          <w:b/>
          <w:sz w:val="20"/>
        </w:rPr>
        <w:t xml:space="preserve">Nivel de gobierno: </w:t>
      </w:r>
      <w:r>
        <w:rPr>
          <w:sz w:val="20"/>
        </w:rPr>
        <w:t>Transversal (aplicable a todos los niveles)</w:t>
      </w:r>
    </w:p>
    <w:p>
      <w:r>
        <w:rPr>
          <w:b/>
          <w:sz w:val="20"/>
        </w:rPr>
        <w:t xml:space="preserve">Tamaño del gobierno: </w:t>
      </w:r>
      <w:r>
        <w:rPr>
          <w:sz w:val="20"/>
        </w:rPr>
        <w:t>No especificado</w:t>
      </w:r>
    </w:p>
    <w:p>
      <w:r>
        <w:rPr>
          <w:b/>
          <w:sz w:val="20"/>
        </w:rPr>
        <w:t xml:space="preserve">Ingreso/Categoría fiscal: </w:t>
      </w:r>
      <w:r>
        <w:rPr>
          <w:sz w:val="20"/>
        </w:rPr>
        <w:t>No especificado</w:t>
      </w:r>
    </w:p>
    <w:p>
      <w:r>
        <w:rPr>
          <w:b/>
          <w:sz w:val="20"/>
        </w:rPr>
        <w:t xml:space="preserve">Tipo de régimen burocrático: </w:t>
      </w:r>
      <w:r>
        <w:rPr>
          <w:sz w:val="20"/>
        </w:rPr>
        <w:t>Marco general aplicable a múltiples tipos</w:t>
      </w:r>
    </w:p>
    <w:p>
      <w:r>
        <w:rPr>
          <w:b/>
          <w:sz w:val="20"/>
        </w:rPr>
        <w:t xml:space="preserve">Sector de política: </w:t>
      </w:r>
      <w:r>
        <w:rPr>
          <w:sz w:val="20"/>
        </w:rPr>
        <w:t>Transversal</w:t>
      </w:r>
    </w:p>
    <w:p>
      <w:r>
        <w:rPr>
          <w:b/>
          <w:sz w:val="20"/>
        </w:rPr>
        <w:t xml:space="preserve">Comparabilidad con Rionegro: </w:t>
      </w:r>
      <w:r>
        <w:rPr>
          <w:sz w:val="20"/>
        </w:rPr>
        <w:t>Alta</w:t>
      </w:r>
    </w:p>
    <w:p>
      <w:r>
        <w:rPr>
          <w:b/>
          <w:sz w:val="20"/>
        </w:rPr>
        <w:t xml:space="preserve">Justificación: </w:t>
      </w:r>
      <w:r>
        <w:rPr>
          <w:sz w:val="20"/>
        </w:rPr>
        <w:t>Proporciona marco conceptual fundamental aplicable a cualquier contexto gubernamental, especialmente útil para estructurar intervenciones de capacity building</w:t>
      </w:r>
    </w:p>
    <w:p>
      <w:pPr>
        <w:pStyle w:val="Heading2"/>
      </w:pPr>
      <w:r>
        <w:rPr>
          <w:color w:val="1B4332"/>
        </w:rPr>
        <w:t>VIII | Conexión con las 4 preguntas empíricas</w:t>
      </w:r>
    </w:p>
    <w:p>
      <w:r>
        <w:rPr>
          <w:sz w:val="20"/>
        </w:rPr>
        <w:t>P1 — Anclaje duro → nivel organizacional: Propone marcos institucionales que fortalecen capacidades organizacionales</w:t>
      </w:r>
      <w:r>
        <w:rPr>
          <w:b/>
          <w:color w:val="2E7D32"/>
          <w:sz w:val="20"/>
        </w:rPr>
        <w:t xml:space="preserve">  →  Soporta</w:t>
      </w:r>
    </w:p>
    <w:p>
      <w:r>
        <w:rPr>
          <w:sz w:val="20"/>
        </w:rPr>
        <w:t>P2 — Intervenciones blandas → individual/político: Enfatiza transferencia de conocimiento y cultura analítica</w:t>
      </w:r>
      <w:r>
        <w:rPr>
          <w:b/>
          <w:color w:val="2E7D32"/>
          <w:sz w:val="20"/>
        </w:rPr>
        <w:t xml:space="preserve">  →  Soporta</w:t>
      </w:r>
    </w:p>
    <w:p>
      <w:r>
        <w:rPr>
          <w:sz w:val="20"/>
        </w:rPr>
        <w:t>P3 — Inercia dimensional → restricciones estructurales: Identifica barreras institucionales y disciplinarias</w:t>
      </w:r>
      <w:r>
        <w:rPr>
          <w:b/>
          <w:color w:val="1565C0"/>
          <w:sz w:val="20"/>
        </w:rPr>
        <w:t xml:space="preserve">  →  Extiende</w:t>
      </w:r>
    </w:p>
    <w:p>
      <w:r>
        <w:rPr>
          <w:sz w:val="20"/>
        </w:rPr>
        <w:t>P4 — Apropiación superficial vs. real: No aborda directamente este tema</w:t>
      </w:r>
      <w:r>
        <w:rPr>
          <w:b/>
          <w:sz w:val="20"/>
        </w:rPr>
        <w:t xml:space="preserve">  →  No aplica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""The policy sciences emerged as students searched for new understandings of government decision-making" (p. 1)"</w:t>
      </w:r>
    </w:p>
    <w:p>
      <w:pPr>
        <w:ind w:left="567" w:right="567"/>
      </w:pPr>
      <w:r>
        <w:rPr>
          <w:i/>
          <w:color w:val="444444"/>
          <w:sz w:val="19"/>
        </w:rPr>
        <w:t>""Problem-centred approach to study of governments represents critical turning point" (p. 2)"</w:t>
      </w:r>
    </w:p>
    <w:p>
      <w:pPr>
        <w:ind w:left="567" w:right="567"/>
      </w:pPr>
      <w:r>
        <w:rPr>
          <w:i/>
          <w:color w:val="444444"/>
          <w:sz w:val="19"/>
        </w:rPr>
        <w:t>""Complex processes deliver expected outcomes through systematic evaluation of outputs" (p. 2)"</w:t>
      </w:r>
    </w:p>
    <w:p>
      <w:pPr>
        <w:ind w:left="567" w:right="567"/>
      </w:pPr>
      <w:r>
        <w:rPr>
          <w:i/>
          <w:color w:val="444444"/>
          <w:sz w:val="19"/>
        </w:rPr>
        <w:t>""Integration of insights from multiple disciplines generates basis for evaluating policy strengths" (p. 2)"</w:t>
      </w:r>
    </w:p>
    <w:p>
      <w:pPr>
        <w:pStyle w:val="Heading3"/>
      </w:pPr>
      <w:r>
        <w:rPr>
          <w:color w:val="0D47A1"/>
        </w:rPr>
        <w:t>Para Metodología</w:t>
      </w:r>
    </w:p>
    <w:p>
      <w:pPr>
        <w:ind w:left="567" w:right="567"/>
      </w:pPr>
      <w:r>
        <w:rPr>
          <w:i/>
          <w:color w:val="444444"/>
          <w:sz w:val="19"/>
        </w:rPr>
        <w:t>""Systematic evaluation of outputs and outcomes generated by government programmes" (p. 2)"</w:t>
      </w:r>
    </w:p>
    <w:p>
      <w:pPr>
        <w:ind w:left="567" w:right="567"/>
      </w:pPr>
      <w:r>
        <w:rPr>
          <w:i/>
          <w:color w:val="444444"/>
          <w:sz w:val="19"/>
        </w:rPr>
        <w:t>""Problem-centred approach connects governmental processes with substantive questions of development" (p. 2)"</w:t>
      </w:r>
    </w:p>
    <w:p>
      <w:pPr>
        <w:ind w:left="567" w:right="567"/>
      </w:pPr>
      <w:r>
        <w:rPr>
          <w:i/>
          <w:color w:val="444444"/>
          <w:sz w:val="19"/>
        </w:rPr>
        <w:t>""Taking into consideration different drivers of policy-making and their interactions" (p. 2)"</w:t>
      </w:r>
    </w:p>
    <w:p>
      <w:pPr>
        <w:pStyle w:val="Heading3"/>
      </w:pPr>
      <w:r>
        <w:rPr>
          <w:color w:val="BF360C"/>
        </w:rPr>
        <w:t>Para Discusión</w:t>
      </w:r>
    </w:p>
    <w:p>
      <w:pPr>
        <w:ind w:left="567" w:right="567"/>
      </w:pPr>
      <w:r>
        <w:rPr>
          <w:i/>
          <w:color w:val="444444"/>
          <w:sz w:val="19"/>
        </w:rPr>
        <w:t>""Shift towards policy perspective requires analysis of complexity through different drivers" (p. 2)"</w:t>
      </w:r>
    </w:p>
    <w:p>
      <w:pPr>
        <w:ind w:left="567" w:right="567"/>
      </w:pPr>
      <w:r>
        <w:rPr>
          <w:i/>
          <w:color w:val="444444"/>
          <w:sz w:val="19"/>
        </w:rPr>
        <w:t>""New approaches focus on micro-level behaviour and characteristics of political systems" (p. 3)"</w:t>
      </w:r>
    </w:p>
    <w:p>
      <w:pPr>
        <w:ind w:left="567" w:right="567"/>
      </w:pPr>
      <w:r>
        <w:rPr>
          <w:i/>
          <w:color w:val="444444"/>
          <w:sz w:val="19"/>
        </w:rPr>
        <w:t>""Contemporary policy studies retain intellectual vitality focusing on government structure" (p. 3)"</w:t>
      </w:r>
    </w:p>
    <w:p>
      <w:pPr>
        <w:pStyle w:val="Heading2"/>
      </w:pPr>
      <w:r>
        <w:rPr>
          <w:color w:val="1B4332"/>
        </w:rPr>
        <w:t>X | Vacíos estratégicos</w:t>
      </w:r>
    </w:p>
    <w:p>
      <w:r>
        <w:rPr>
          <w:sz w:val="20"/>
        </w:rPr>
        <w:t>1. No proporciona indicadores específicos para medir capacidades de política pública</w:t>
        <w:br/>
        <w:t>2. Carece de evidencia empírica sobre efectividad diferencial de intervenciones</w:t>
        <w:br/>
        <w:t>3. No aborda específicamente contextos de alta dependencia de contratistas</w:t>
        <w:br/>
        <w:t>4. Falta análisis de sustainability de capacity building en contextos de alta rotación</w:t>
        <w:br/>
        <w:t>5. No desarrolla instrumentos de medición para capacidades políticas individuales</w:t>
        <w:br/>
        <w:t>6. Ausencia de marcos para evaluar apropiación real vs. superficial de capacidades</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libro constituye un aporte fundamental al marco teórico del proyecto Rionegro por su desarrollo conceptual integral de las capacidades de política pública. Su principal contribución radica en el fortalecimiento de las celdas organizacionales (especialmente OO) y analíticas (AI, AO) de la matriz PCF, proporcionando marcos conceptuales sólidos para estructurar intervenciones de capacity building. El enfoque problem-centered que propone es especialmente relevante para el contexto de Rionegro, donde se requiere alinear capacidades con problemas específicos de política pública. Su énfasis en la integración interdisciplinaria y la institucionalización de capacidades analíticas proporciona fundamentos teóricos para diseñar intervenciones tanto de anclaje duro como blando. Aunque carece de indicadores operacionalizables, su marco conceptual es esencial para fundamentar las decisiones metodológicas del proyecto y justificar la importancia de medir capacidades de manera sistemática en contextos subnacionales.</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