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4332"/>
          <w:sz w:val="28"/>
        </w:rPr>
        <w:t>FICHA DE LECTURA — CAPACIDADES DE POLÍTICA PÚBLICA</w:t>
      </w:r>
    </w:p>
    <w:p>
      <w:pPr>
        <w:jc w:val="center"/>
      </w:pPr>
      <w:r>
        <w:rPr>
          <w:i/>
          <w:color w:val="666666"/>
          <w:sz w:val="20"/>
        </w:rPr>
        <w:t>Proyecto: Medición de capacidades — Municipio de Rionegro, Antioquia</w:t>
      </w:r>
    </w:p>
    <w:p>
      <w:pPr>
        <w:jc w:val="center"/>
      </w:pPr>
      <w:r>
        <w:rPr>
          <w:i/>
          <w:sz w:val="22"/>
        </w:rPr>
        <w:t>Howlett, M. (2009). Policy analytical capacity and evidence-based policy-making: Lessons from Canada. Canadian Public Administration, 52(2), 153-175.</w:t>
      </w:r>
    </w:p>
    <w:p>
      <w:pPr>
        <w:jc w:val="center"/>
      </w:pPr>
      <w:r>
        <w:rPr>
          <w:b/>
          <w:color w:val="1B5E20"/>
          <w:sz w:val="22"/>
        </w:rPr>
        <w:t>● FUNDAMENTAL ● Puntaje matriz: 13/27</w:t>
      </w:r>
    </w:p>
    <w:p/>
    <w:p>
      <w:pPr>
        <w:pStyle w:val="Heading1"/>
      </w:pPr>
      <w:r>
        <w:rPr>
          <w:color w:val="1B4332"/>
        </w:rPr>
        <w:t>PARTE I — FICHA GENÉRICA DEL ARTÍCULO</w:t>
      </w:r>
    </w:p>
    <w:p>
      <w:pPr>
        <w:pStyle w:val="Heading2"/>
      </w:pPr>
      <w:r>
        <w:rPr>
          <w:color w:val="1B4332"/>
        </w:rPr>
        <w:t>1 | Referencia bibliográfica (APA 7)</w:t>
      </w:r>
    </w:p>
    <w:p>
      <w:r>
        <w:rPr>
          <w:sz w:val="20"/>
        </w:rPr>
        <w:t>Howlett, M. (2009). Policy analytical capacity and evidence-based policy-making: Lessons from Canada. Canadian Public Administration, 52(2), 153-175.</w:t>
      </w:r>
    </w:p>
    <w:p>
      <w:pPr>
        <w:pStyle w:val="Heading2"/>
      </w:pPr>
      <w:r>
        <w:rPr>
          <w:color w:val="1B4332"/>
        </w:rPr>
        <w:t>2 | Objetivo explícito del autor</w:t>
      </w:r>
    </w:p>
    <w:p>
      <w:r>
        <w:rPr>
          <w:sz w:val="20"/>
        </w:rPr>
        <w:t>Examinar la relación entre la capacidad analítica de políticas públicas (governmental y non-governmental) y la implementación exitosa de políticas basadas en evidencia. El estudio busca identificar las limitaciones de capacidad que obstaculizan el policy-making basado en evidencia y contribuyen a las fallas de política pública.</w:t>
      </w:r>
    </w:p>
    <w:p>
      <w:pPr>
        <w:ind w:left="567" w:right="567"/>
      </w:pPr>
      <w:r>
        <w:rPr>
          <w:i/>
          <w:color w:val="444444"/>
          <w:sz w:val="19"/>
        </w:rPr>
        <w:t>""improve policy outcomes by applying systematic evaluative rationality to public problems and concerns" (p. 154)"</w:t>
      </w:r>
    </w:p>
    <w:p>
      <w:pPr>
        <w:pStyle w:val="Heading2"/>
      </w:pPr>
      <w:r>
        <w:rPr>
          <w:color w:val="1B4332"/>
        </w:rPr>
        <w:t>3 | Pregunta de investigación</w:t>
      </w:r>
    </w:p>
    <w:p>
      <w:pPr>
        <w:ind w:left="567" w:right="567"/>
      </w:pPr>
      <w:r>
        <w:rPr>
          <w:i/>
          <w:color w:val="444444"/>
          <w:sz w:val="19"/>
        </w:rPr>
        <w:t>"¿En qué medida la limitada capacidad analítica de políticas en actores gubernamentales y no gubernamentales contribuye al fracaso de las políticas basadas en evidencia y a la incapacidad para abordar desafíos políticos complejos contemporáneos?"</w:t>
      </w:r>
    </w:p>
    <w:p>
      <w:pPr>
        <w:pStyle w:val="Heading2"/>
      </w:pPr>
      <w:r>
        <w:rPr>
          <w:color w:val="1B4332"/>
        </w:rPr>
        <w:t>4 | Tesis central</w:t>
      </w:r>
    </w:p>
    <w:p>
      <w:r>
        <w:rPr>
          <w:sz w:val="20"/>
        </w:rPr>
        <w:t>La implementación exitosa de políticas basadas en evidencia requiere niveles sustanciales de capacidad analítica de políticas tanto en actores gubernamentales como no gubernamentales. Sin embargo, estudios recientes sugieren que incluso en países desarrollados como Canadá, esta capacidad es deficiente. Esta limitación contribuye significativamente tanto al fracaso de las iniciativas de policy-making basado en evidencia como a la incapacidad para abordar efectivamente desafíos políticos complejos contemporáneos. La capacidad analítica inadecuada resulta en competencias "desiguales" entre agencias y limita la planificación de largo plazo.</w:t>
      </w:r>
    </w:p>
    <w:p>
      <w:pPr>
        <w:ind w:left="567" w:right="567"/>
      </w:pPr>
      <w:r>
        <w:rPr>
          <w:i/>
          <w:color w:val="444444"/>
          <w:sz w:val="19"/>
        </w:rPr>
        <w:t>""level of policy analytical capacity found in many governments and non-governmental actors is low" (p. 153)"</w:t>
      </w:r>
    </w:p>
    <w:p>
      <w:pPr>
        <w:pStyle w:val="Heading2"/>
      </w:pPr>
      <w:r>
        <w:rPr>
          <w:color w:val="1B4332"/>
        </w:rPr>
        <w:t>5 | Marco teórico utilizado</w:t>
      </w:r>
    </w:p>
    <w:p>
      <w:r>
        <w:rPr>
          <w:sz w:val="20"/>
        </w:rPr>
        <w:t>1. **Movimiento de Análisis de Políticas**: Marco histórico desde los 1960s enfocado en racionalidad evaluativa sistemática</w:t>
        <w:br/>
        <w:t>2. **Teoría de Fallas de Política**: Identificación de tipos específicos de fallas y sus causas sistemáticas</w:t>
        <w:br/>
        <w:t>3. **Teoría del Aprendizaje de Políticas**: Procesos iterativos de mejoramiento mediante información y evaluación</w:t>
        <w:br/>
        <w:t>4. **Teoría de Capacidad Analítica**: Recursos humanos, financieros, de red y conocimiento requeridos para policy-making efectivo</w:t>
        <w:br/>
        <w:t>5. **Marco de Evidence-Based Policy-Making**: Priorización de criterios de decisión basados en evidencia empírica</w:t>
      </w:r>
    </w:p>
    <w:p>
      <w:pPr>
        <w:pStyle w:val="Heading2"/>
      </w:pPr>
      <w:r>
        <w:rPr>
          <w:color w:val="1B4332"/>
        </w:rPr>
        <w:t>7 | Conceptos clave</w:t>
      </w:r>
    </w:p>
    <w:p>
      <w:r>
        <w:rPr>
          <w:sz w:val="20"/>
        </w:rPr>
        <w:t>1. **Policy Analytical Capacity** (p. 153): Nivel de recursos humanos, financieros, de red y conocimiento que permiten a organizaciones realizar tareas de gestión e implementación de procesos de política basados en evidencia</w:t>
        <w:br/>
        <w:t>2. **Evidence-Based Policy-Making** (p. 154): Esfuerzo contemporáneo para reformar procesos de política priorizando criterios de decisión basados en evidencia empírica</w:t>
        <w:br/>
        <w:t>3. **Policy Failures** (p. 157): Situaciones donde políticas fallan sustantiva o procedimentalmente en entregar resultados materiales esperados o procesos legítimos</w:t>
        <w:br/>
        <w:t>4. **Policy Learning** (p. 157): Proceso iterativo de mejoramiento mediante información procesada y utilización que permite corrección de errores</w:t>
        <w:br/>
        <w:t>5. **Wicked Problems** (p. 159): Problemas "inabordables" donde ni la causa del problema ni su solución son bien conocidas</w:t>
        <w:br/>
        <w:t>6. **Policy Success** (p. 158): Entrega efectiva de resultados materiales esperados y procesos legítimos, evaluada tanto sustantiva como procedimentalmente</w:t>
      </w:r>
    </w:p>
    <w:p>
      <w:pPr>
        <w:pStyle w:val="Heading2"/>
      </w:pPr>
      <w:r>
        <w:rPr>
          <w:color w:val="1B4332"/>
        </w:rPr>
        <w:t>8 | Reconstrucción analítica del argumento</w:t>
      </w:r>
    </w:p>
    <w:p>
      <w:r>
        <w:rPr>
          <w:sz w:val="20"/>
        </w:rPr>
        <w:t>**Hipótesis**: La capacidad analítica limitada impide el policy-making basado en evidencia efectivo. **Resultados**: Incluso países desarrollados muestran capacidades deficientes. **Mecanismo causal**: Sin recursos analíticos adecuados → incapacidad de procesar información sistemáticamente → decisiones subóptimas → fallas de política. **Hallazgos no esperados**: Las críticas al evidence-based policy-making frecuentemente malinterpretan su naturaleza pragmática versus tecnocrática.</w:t>
      </w:r>
    </w:p>
    <w:p>
      <w:pPr>
        <w:pStyle w:val="Heading2"/>
      </w:pPr>
      <w:r>
        <w:rPr>
          <w:color w:val="1B4332"/>
        </w:rPr>
        <w:t>10 | Aportes principales</w:t>
      </w:r>
    </w:p>
    <w:p>
      <w:r>
        <w:rPr>
          <w:sz w:val="20"/>
        </w:rPr>
        <w:t>1. **Reconceptualización**: Distingue evidence-based policy-making como enfoque pragmático versus tecnocrático puro</w:t>
        <w:br/>
        <w:t>2. **Tipología analítica**: Desarrollo de taxonomía específica de fallas de política relacionadas con déficits informacionales</w:t>
        <w:br/>
        <w:t>3. **Marco integrador**: Vinculación sistemática entre capacidad analítica y resultados de política</w:t>
        <w:br/>
        <w:t>4. **Identificación de brechas**: Documentación de déficits de capacidad en países desarrollados</w:t>
        <w:br/>
        <w:t>5. **Requisitos operacionales**: Especificación de componentes necesarios para policy analytical capacity efectiva</w:t>
      </w:r>
    </w:p>
    <w:p>
      <w:pPr>
        <w:pStyle w:val="Heading2"/>
      </w:pPr>
      <w:r>
        <w:rPr>
          <w:color w:val="1B4332"/>
        </w:rPr>
        <w:t>11 | Limitaciones</w:t>
      </w:r>
    </w:p>
    <w:p>
      <w:r>
        <w:rPr>
          <w:sz w:val="20"/>
        </w:rPr>
        <w:t>1. **Falta de evidencia cuantitativa**: No proporciona medidas sistemáticas de capacidad analítica</w:t>
        <w:br/>
        <w:t>2. **Enfoque mono-nacional**: Concentración primaria en experiencia canadiense limita generalización</w:t>
        <w:br/>
        <w:t>3. **Ausencia de casos comparativos**: No incluye análisis sistemático de variación entre países o sectores</w:t>
      </w:r>
    </w:p>
    <w:p>
      <w:pPr>
        <w:pStyle w:val="Heading2"/>
      </w:pPr>
      <w:r>
        <w:rPr>
          <w:color w:val="1B4332"/>
        </w:rPr>
        <w:t>12 | Conexión con debates mayores</w:t>
      </w:r>
    </w:p>
    <w:p>
      <w:r>
        <w:rPr>
          <w:sz w:val="20"/>
        </w:rPr>
        <w:t>**State Capacity**: Contribuye al debate sobre capacidades estatales enfocándose específicamente en dimensiones analíticas. **Gobernanza Multinivel**: Aborda capacidades tanto gubernamentales como no gubernamentales. **NPM**: Implícitamente critica reformas que pueden haber debilitado capacidades analíticas tradicionales. **Capacity Building**: Proporciona fundamentos conceptuales para iniciativas de fortalecimiento institucional.</w:t>
      </w:r>
    </w:p>
    <w:p>
      <w:pPr>
        <w:pStyle w:val="Heading2"/>
      </w:pPr>
      <w:r>
        <w:rPr>
          <w:color w:val="1B4332"/>
        </w:rPr>
        <w:t>13 | Observaciones críticas propias</w:t>
      </w:r>
    </w:p>
    <w:p>
      <w:r>
        <w:rPr>
          <w:sz w:val="20"/>
        </w:rPr>
        <w:t>**Tensión conceptual**: La definición de "evidencia" permanece ambigua y potencialmente contestable. **Supuesto no problematizado**: Asume que más información necesariamente conduce a mejores políticas sin considerar limitaciones cognitivas. **Extensión sugerida**: Requiere operacionalización empírica de policy analytical capacity y estudios comparativos sistemáticos. **Limitación causal**: No aborda suficientemente cómo factores políticos pueden neutralizar ventajas informacionales.</w:t>
      </w:r>
    </w:p>
    <w:p>
      <w:pPr>
        <w:pStyle w:val="Heading2"/>
      </w:pPr>
      <w:r>
        <w:rPr>
          <w:color w:val="1B4332"/>
        </w:rPr>
        <w:t>6 | Tipo de investigación y metodología</w:t>
      </w:r>
    </w:p>
    <w:p>
      <w:r>
        <w:rPr>
          <w:b/>
          <w:sz w:val="20"/>
        </w:rPr>
        <w:t xml:space="preserve">Diseño: </w:t>
      </w:r>
      <w:r>
        <w:rPr>
          <w:sz w:val="20"/>
        </w:rPr>
        <w:t>Ensayo teórico-conceptual con análisis de literatura</w:t>
      </w:r>
    </w:p>
    <w:p>
      <w:r>
        <w:rPr>
          <w:b/>
          <w:sz w:val="20"/>
        </w:rPr>
        <w:t xml:space="preserve">Universo: </w:t>
      </w:r>
      <w:r>
        <w:rPr>
          <w:sz w:val="20"/>
        </w:rPr>
        <w:t>Literatura sobre capacidad analítica y políticas basadas en evidencia</w:t>
      </w:r>
    </w:p>
    <w:p>
      <w:r>
        <w:rPr>
          <w:b/>
          <w:sz w:val="20"/>
        </w:rPr>
        <w:t xml:space="preserve">Muestra: </w:t>
      </w:r>
      <w:r>
        <w:rPr>
          <w:sz w:val="20"/>
        </w:rPr>
        <w:t>No aplica (revisión conceptual)</w:t>
      </w:r>
    </w:p>
    <w:p>
      <w:r>
        <w:rPr>
          <w:b/>
          <w:sz w:val="20"/>
        </w:rPr>
        <w:t xml:space="preserve">Instrumentos: </w:t>
      </w:r>
      <w:r>
        <w:rPr>
          <w:sz w:val="20"/>
        </w:rPr>
        <w:t>Revisión sistemática de literatura académica</w:t>
      </w:r>
    </w:p>
    <w:p>
      <w:r>
        <w:rPr>
          <w:b/>
          <w:sz w:val="20"/>
        </w:rPr>
        <w:t xml:space="preserve">Variable dependiente: </w:t>
      </w:r>
      <w:r>
        <w:rPr>
          <w:sz w:val="20"/>
        </w:rPr>
        <w:t>Éxito/fracaso de políticas basadas en evidencia</w:t>
      </w:r>
    </w:p>
    <w:p>
      <w:r>
        <w:rPr>
          <w:b/>
          <w:sz w:val="20"/>
        </w:rPr>
        <w:t xml:space="preserve">Variables independientes: </w:t>
      </w:r>
      <w:r>
        <w:rPr>
          <w:sz w:val="20"/>
        </w:rPr>
        <w:t>Nivel de capacidad analítica de políticas</w:t>
      </w:r>
    </w:p>
    <w:p>
      <w:r>
        <w:rPr>
          <w:b/>
          <w:sz w:val="20"/>
        </w:rPr>
        <w:t xml:space="preserve">Análisis: </w:t>
      </w:r>
      <w:r>
        <w:rPr>
          <w:sz w:val="20"/>
        </w:rPr>
        <w:t>Análisis conceptual y síntesis teórica</w:t>
      </w:r>
    </w:p>
    <w:p>
      <w:r>
        <w:rPr>
          <w:b/>
          <w:sz w:val="20"/>
        </w:rPr>
        <w:t xml:space="preserve">País/Nivel de gobierno: </w:t>
      </w:r>
      <w:r>
        <w:rPr>
          <w:sz w:val="20"/>
        </w:rPr>
        <w:t>Canadá, con referencias comparativas internacionales</w:t>
      </w:r>
    </w:p>
    <w:p>
      <w:pPr>
        <w:pStyle w:val="Heading2"/>
      </w:pPr>
      <w:r>
        <w:rPr>
          <w:color w:val="1B4332"/>
        </w:rPr>
        <w:t>9 | Evidencia empírica / estadística</w:t>
      </w:r>
    </w:p>
    <w:p>
      <w:r>
        <w:rPr>
          <w:sz w:val="20"/>
        </w:rPr>
        <w:t>**Evidencia cualitativa**: Estudios de caso canadienses muestran capacidades "desiguales" entre agencias. **Tipología empírica**: Identificación de cuatro tipos específicos de fallas de política relacionadas con déficits de información. **Evidencia comparativa**: Referencia a limitaciones similares en otros países desarrollados sin especificar índices cuantitativos.</w:t>
      </w:r>
    </w:p>
    <w:p>
      <w:pPr>
        <w:pStyle w:val="Heading2"/>
      </w:pPr>
      <w:r>
        <w:rPr>
          <w:color w:val="1B4332"/>
        </w:rPr>
        <w:t>14 | Conclusión analítica sintética</w:t>
      </w:r>
    </w:p>
    <w:tbl>
      <w:tblPr>
        <w:tblStyle w:val="TableGrid"/>
        <w:tblW w:type="auto" w:w="0"/>
        <w:tblLook w:firstColumn="1" w:firstRow="1" w:lastColumn="0" w:lastRow="0" w:noHBand="0" w:noVBand="1" w:val="04A0"/>
      </w:tblPr>
      <w:tblGrid>
        <w:gridCol w:w="9406"/>
      </w:tblGrid>
      <w:tr>
        <w:tc>
          <w:tcPr>
            <w:tcW w:type="dxa" w:w="9406"/>
            <w:shd w:val="clear" w:color="auto" w:fill="E8F5E9"/>
          </w:tcPr>
          <w:p/>
          <w:p>
            <w:r>
              <w:rPr>
                <w:sz w:val="19"/>
              </w:rPr>
              <w:t>Howlett presenta un argumento convincente sobre la importancia crítica de la capacidad analítica para el éxito de políticas basadas en evidencia, identificando esta capacidad como un prerequisito fundamental frecuentemente subestimado. Su contribución principal radica en reconceptualizar el evidence-based policy-making como un enfoque pragmático que requiere recursos institucionales sustanciales, más que como una panacea tecnocrática. El análisis revela que incluso países desarrollados enfrentan déficits significativos en estas capacidades, lo cual explica parcialmente las limitaciones persistentes en la efectividad de políticas públicas. Este trabajo establece fundamentos conceptuales importantes para futuras investigaciones empíricas sobre capacidad estatal y provides un marco analítico valioso para entender los requisitos institucionales del policy-making contemporáneo. La relevancia del argumento se extiende más allá del contexto canadiense, ofreciendo insights aplicables a esfuerzos de fortalecimiento institucional en diversos contextos nacionales y subnacionales.</w:t>
            </w:r>
          </w:p>
        </w:tc>
      </w:tr>
    </w:tbl>
    <w:p/>
    <w:p>
      <w:r>
        <w:br w:type="page"/>
      </w:r>
    </w:p>
    <w:p>
      <w:pPr>
        <w:pStyle w:val="Heading1"/>
      </w:pPr>
      <w:r>
        <w:rPr>
          <w:color w:val="1B4332"/>
        </w:rPr>
        <w:t>PARTE II — FICHA AJUSTADA AL PROYECTO DE CAPACIDADES</w:t>
      </w:r>
    </w:p>
    <w:p>
      <w:r>
        <w:rPr>
          <w:i/>
          <w:sz w:val="20"/>
        </w:rPr>
        <w:t>Matriz de Wu et al. (2015/2018) aplicada a Rionegro, Antioquia</w:t>
      </w:r>
    </w:p>
    <w:p>
      <w:pPr>
        <w:pStyle w:val="Heading2"/>
      </w:pPr>
      <w:r>
        <w:rPr>
          <w:color w:val="1B4332"/>
        </w:rPr>
        <w:t>I | Mapeo a la Matriz de Capacidades (9 celdas)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B4332"/>
          </w:tcPr>
          <w:p>
            <w:r>
              <w:rPr>
                <w:b/>
                <w:color w:val="FFFFFF"/>
                <w:sz w:val="16"/>
              </w:rPr>
              <w:t>Nivel \ Competencia</w:t>
            </w:r>
          </w:p>
        </w:tc>
        <w:tc>
          <w:tcPr>
            <w:tcW w:type="dxa" w:w="2351"/>
            <w:shd w:val="clear" w:color="auto" w:fill="1B4332"/>
          </w:tcPr>
          <w:p>
            <w:r>
              <w:rPr>
                <w:b/>
                <w:color w:val="FFFFFF"/>
                <w:sz w:val="16"/>
              </w:rPr>
              <w:t>ANALÍTICA</w:t>
            </w:r>
          </w:p>
        </w:tc>
        <w:tc>
          <w:tcPr>
            <w:tcW w:type="dxa" w:w="2351"/>
            <w:shd w:val="clear" w:color="auto" w:fill="1B4332"/>
          </w:tcPr>
          <w:p>
            <w:r>
              <w:rPr>
                <w:b/>
                <w:color w:val="FFFFFF"/>
                <w:sz w:val="16"/>
              </w:rPr>
              <w:t>OPERATIVA</w:t>
            </w:r>
          </w:p>
        </w:tc>
        <w:tc>
          <w:tcPr>
            <w:tcW w:type="dxa" w:w="2351"/>
            <w:shd w:val="clear" w:color="auto" w:fill="1B4332"/>
          </w:tcPr>
          <w:p>
            <w:r>
              <w:rPr>
                <w:b/>
                <w:color w:val="FFFFFF"/>
                <w:sz w:val="16"/>
              </w:rPr>
              <w:t>POLÍTICA</w:t>
            </w:r>
          </w:p>
        </w:tc>
      </w:tr>
      <w:tr>
        <w:tc>
          <w:tcPr>
            <w:tcW w:type="dxa" w:w="2351"/>
            <w:shd w:val="clear" w:color="auto" w:fill="D8F3DC"/>
          </w:tcPr>
          <w:p>
            <w:r>
              <w:rPr>
                <w:b/>
                <w:sz w:val="16"/>
              </w:rPr>
              <w:t>INDIVIDUAL</w:t>
            </w:r>
          </w:p>
        </w:tc>
        <w:tc>
          <w:tcPr>
            <w:tcW w:type="dxa" w:w="2351"/>
            <w:shd w:val="clear" w:color="auto" w:fill="2E7D32"/>
          </w:tcPr>
          <w:p>
            <w:r>
              <w:rPr>
                <w:b/>
                <w:color w:val="FFFFFF"/>
                <w:sz w:val="16"/>
              </w:rPr>
              <w:t xml:space="preserve">[3] </w:t>
            </w:r>
            <w:r>
              <w:rPr>
                <w:sz w:val="14"/>
              </w:rPr>
              <w:t>Desarrolla extensamente capacidad analítica individual: habilidades de investigadores, téc</w:t>
            </w:r>
          </w:p>
        </w:tc>
        <w:tc>
          <w:tcPr>
            <w:tcW w:type="dxa" w:w="2351"/>
            <w:shd w:val="clear" w:color="auto" w:fill="FFF9C4"/>
          </w:tcPr>
          <w:p>
            <w:r>
              <w:rPr>
                <w:b/>
                <w:color w:val="F57F17"/>
                <w:sz w:val="16"/>
              </w:rPr>
              <w:t xml:space="preserve">[1] </w:t>
            </w:r>
            <w:r>
              <w:rPr>
                <w:sz w:val="14"/>
              </w:rPr>
              <w:t>Mención tangencial de liderazgo en gestión de procesos basados en evidencia</w:t>
            </w:r>
          </w:p>
        </w:tc>
        <w:tc>
          <w:tcPr>
            <w:tcW w:type="dxa" w:w="2351"/>
            <w:shd w:val="clear" w:color="auto" w:fill="FFF9C4"/>
          </w:tcPr>
          <w:p>
            <w:r>
              <w:rPr>
                <w:b/>
                <w:color w:val="F57F17"/>
                <w:sz w:val="16"/>
              </w:rPr>
              <w:t xml:space="preserve">[1] </w:t>
            </w:r>
            <w:r>
              <w:rPr>
                <w:sz w:val="14"/>
              </w:rPr>
              <w:t>Mención de "speak truth to power" como habilidad de comunicación política de analistas</w:t>
            </w:r>
          </w:p>
        </w:tc>
      </w:tr>
      <w:tr>
        <w:tc>
          <w:tcPr>
            <w:tcW w:type="dxa" w:w="2351"/>
            <w:shd w:val="clear" w:color="auto" w:fill="D8F3DC"/>
          </w:tcPr>
          <w:p>
            <w:r>
              <w:rPr>
                <w:b/>
                <w:sz w:val="16"/>
              </w:rPr>
              <w:t>ORGANIZACIONAL</w:t>
            </w:r>
          </w:p>
        </w:tc>
        <w:tc>
          <w:tcPr>
            <w:tcW w:type="dxa" w:w="2351"/>
            <w:shd w:val="clear" w:color="auto" w:fill="C8E6C9"/>
          </w:tcPr>
          <w:p>
            <w:r>
              <w:rPr>
                <w:b/>
                <w:color w:val="2E7D32"/>
                <w:sz w:val="16"/>
              </w:rPr>
              <w:t xml:space="preserve">[2] </w:t>
            </w:r>
            <w:r>
              <w:rPr>
                <w:sz w:val="14"/>
              </w:rPr>
              <w:t>Conceptualiza infraestructura organizacional: cultura de apertura, procedimientos para inv</w:t>
            </w:r>
          </w:p>
        </w:tc>
        <w:tc>
          <w:tcPr>
            <w:tcW w:type="dxa" w:w="2351"/>
            <w:shd w:val="clear" w:color="auto" w:fill="C8E6C9"/>
          </w:tcPr>
          <w:p>
            <w:r>
              <w:rPr>
                <w:b/>
                <w:color w:val="2E7D32"/>
                <w:sz w:val="16"/>
              </w:rPr>
              <w:t xml:space="preserve">[2] </w:t>
            </w:r>
            <w:r>
              <w:rPr>
                <w:sz w:val="14"/>
              </w:rPr>
              <w:t>Desarrolla recursos organizacionales: humanos, financieros, de red y conocimiento para ges</w:t>
            </w:r>
          </w:p>
        </w:tc>
        <w:tc>
          <w:tcPr>
            <w:tcW w:type="dxa" w:w="2351"/>
            <w:shd w:val="clear" w:color="auto" w:fill="F5F5F5"/>
          </w:tcPr>
          <w:p>
            <w:r>
              <w:rPr>
                <w:b/>
                <w:color w:val="999999"/>
                <w:sz w:val="16"/>
              </w:rPr>
              <w:t xml:space="preserve">[0] </w:t>
            </w:r>
            <w:r>
              <w:rPr>
                <w:sz w:val="14"/>
              </w:rPr>
              <w:t>No desarrolla capacidades políticas organizacionales específicas</w:t>
            </w:r>
          </w:p>
        </w:tc>
      </w:tr>
      <w:tr>
        <w:tc>
          <w:tcPr>
            <w:tcW w:type="dxa" w:w="2351"/>
            <w:shd w:val="clear" w:color="auto" w:fill="D8F3DC"/>
          </w:tcPr>
          <w:p>
            <w:r>
              <w:rPr>
                <w:b/>
                <w:sz w:val="16"/>
              </w:rPr>
              <w:t>SISTÉMICO</w:t>
            </w:r>
          </w:p>
        </w:tc>
        <w:tc>
          <w:tcPr>
            <w:tcW w:type="dxa" w:w="2351"/>
            <w:shd w:val="clear" w:color="auto" w:fill="C8E6C9"/>
          </w:tcPr>
          <w:p>
            <w:r>
              <w:rPr>
                <w:b/>
                <w:color w:val="2E7D32"/>
                <w:sz w:val="16"/>
              </w:rPr>
              <w:t xml:space="preserve">[2] </w:t>
            </w:r>
            <w:r>
              <w:rPr>
                <w:sz w:val="14"/>
              </w:rPr>
              <w:t>Describe ecosistema de evidencia: disponibilidad de datos sectoriales, reviews sistemático</w:t>
            </w:r>
          </w:p>
        </w:tc>
        <w:tc>
          <w:tcPr>
            <w:tcW w:type="dxa" w:w="2351"/>
            <w:shd w:val="clear" w:color="auto" w:fill="FFF9C4"/>
          </w:tcPr>
          <w:p>
            <w:r>
              <w:rPr>
                <w:b/>
                <w:color w:val="F57F17"/>
                <w:sz w:val="16"/>
              </w:rPr>
              <w:t xml:space="preserve">[1] </w:t>
            </w:r>
            <w:r>
              <w:rPr>
                <w:sz w:val="14"/>
              </w:rPr>
              <w:t>Nombra divisiones constitucionales y jurisdiccionales como restricciones estructurales</w:t>
            </w:r>
          </w:p>
        </w:tc>
        <w:tc>
          <w:tcPr>
            <w:tcW w:type="dxa" w:w="2351"/>
            <w:shd w:val="clear" w:color="auto" w:fill="FFF9C4"/>
          </w:tcPr>
          <w:p>
            <w:r>
              <w:rPr>
                <w:b/>
                <w:color w:val="F57F17"/>
                <w:sz w:val="16"/>
              </w:rPr>
              <w:t xml:space="preserve">[1] </w:t>
            </w:r>
            <w:r>
              <w:rPr>
                <w:sz w:val="14"/>
              </w:rPr>
              <w:t>Referencias tangenciales a legitimidad del policy-making basado en evidencia</w:t>
            </w:r>
          </w:p>
        </w:tc>
      </w:tr>
    </w:tbl>
    <w:p/>
    <w:p>
      <w:r>
        <w:rPr>
          <w:sz w:val="18"/>
        </w:rPr>
        <w:t>AI: 3 | Desarrolla extensamente capacidad analítica individual: habilidades de investigadores, técnicas de evaluación, competencias metodológicas</w:t>
        <w:br/>
        <w:t>AO: 2 | Conceptualiza infraestructura organizacional: cultura de apertura, procedimientos para investigación, disponibilidad de datos de calidad</w:t>
        <w:br/>
        <w:t>AS: 2 | Describe ecosistema de evidencia: disponibilidad de datos sectoriales, reviews sistemáticos, estándares de evidencia por sector</w:t>
        <w:br/>
        <w:t>OI: 1 | Mención tangencial de liderazgo en gestión de procesos basados en evidencia</w:t>
        <w:br/>
        <w:t>OO: 2 | Desarrolla recursos organizacionales: humanos, financieros, de red y conocimiento para gestión de procesos evidence-based</w:t>
        <w:br/>
        <w:t>OS: 1 | Nombra divisiones constitucionales y jurisdiccionales como restricciones estructurales</w:t>
        <w:br/>
        <w:t>PI: 1 | Mención de "speak truth to power" como habilidad de comunicación política de analistas</w:t>
        <w:br/>
        <w:t>PO: 0 | No desarrolla capacidades políticas organizacionales específicas</w:t>
        <w:br/>
        <w:t>PS: 1 | Referencias tangenciales a legitimidad del policy-making basado en evidencia</w:t>
        <w:br/>
        <w:br/>
        <w:t>CELDAS_PRINCIPALES: AI, AO, OO</w:t>
      </w:r>
    </w:p>
    <w:p>
      <w:pPr>
        <w:pStyle w:val="Heading2"/>
      </w:pPr>
      <w:r>
        <w:rPr>
          <w:color w:val="1B4332"/>
        </w:rPr>
        <w:t>II | Indicadores operacionalizables extraídos</w:t>
      </w:r>
    </w:p>
    <w:tbl>
      <w:tblPr>
        <w:tblStyle w:val="TableGrid"/>
        <w:tblW w:type="auto" w:w="0"/>
        <w:tblLook w:firstColumn="1" w:firstRow="1" w:lastColumn="0" w:lastRow="0" w:noHBand="0" w:noVBand="1" w:val="04A0"/>
      </w:tblPr>
      <w:tblGrid>
        <w:gridCol w:w="9406"/>
      </w:tblGrid>
      <w:tr>
        <w:tc>
          <w:tcPr>
            <w:tcW w:type="dxa" w:w="9406"/>
            <w:shd w:val="clear" w:color="auto" w:fill="E3F2FD"/>
          </w:tcPr>
          <w:p/>
          <w:p>
            <w:r>
              <w:rPr>
                <w:b/>
                <w:color w:val="1B4332"/>
                <w:sz w:val="20"/>
              </w:rPr>
              <w:t>Indicadores para instrumento de medición</w:t>
            </w:r>
          </w:p>
          <w:p>
            <w:r>
              <w:rPr>
                <w:sz w:val="19"/>
              </w:rPr>
              <w:t>No propone indicadores operacionalizables. Artículo teórico/conceptual.</w:t>
              <w:br/>
              <w:br/>
              <w:t>Riddell menciona requisitos generales pero sin operacionalización:</w:t>
              <w:br/>
              <w:t>- Demanda reconocida por investigación</w:t>
              <w:br/>
              <w:t xml:space="preserve">- Disponibilidad de investigadores calificados  </w:t>
              <w:br/>
              <w:t>- Disponibilidad de datos de calidad</w:t>
              <w:br/>
              <w:t>- Procedimientos para interacción productiva entre investigadores</w:t>
              <w:br/>
              <w:t>- Cultura de apertura y aceptación de riesgo</w:t>
            </w:r>
          </w:p>
        </w:tc>
      </w:tr>
    </w:tbl>
    <w:p/>
    <w:p>
      <w:pPr>
        <w:pStyle w:val="Heading2"/>
      </w:pPr>
      <w:r>
        <w:rPr>
          <w:color w:val="1B4332"/>
        </w:rPr>
        <w:t>III | Variables, escalas e ítems de encuesta</w:t>
      </w:r>
    </w:p>
    <w:tbl>
      <w:tblPr>
        <w:tblStyle w:val="TableGrid"/>
        <w:tblW w:type="auto" w:w="0"/>
        <w:tblLook w:firstColumn="1" w:firstRow="1" w:lastColumn="0" w:lastRow="0" w:noHBand="0" w:noVBand="1" w:val="04A0"/>
      </w:tblPr>
      <w:tblGrid>
        <w:gridCol w:w="9406"/>
      </w:tblGrid>
      <w:tr>
        <w:tc>
          <w:tcPr>
            <w:tcW w:type="dxa" w:w="9406"/>
            <w:shd w:val="clear" w:color="auto" w:fill="F3E5F5"/>
          </w:tcPr>
          <w:p/>
          <w:p>
            <w:r>
              <w:rPr>
                <w:b/>
                <w:color w:val="1B4332"/>
                <w:sz w:val="20"/>
              </w:rPr>
              <w:t>Ítems extraíbles para instrumento Rionegro</w:t>
            </w:r>
          </w:p>
          <w:p>
            <w:r>
              <w:rPr>
                <w:sz w:val="19"/>
              </w:rPr>
              <w:t>No aplica — artículo sin instrumento de medición tipo encuesta</w:t>
            </w:r>
          </w:p>
        </w:tc>
      </w:tr>
    </w:tbl>
    <w:p/>
    <w:p>
      <w:pPr>
        <w:pStyle w:val="Heading2"/>
      </w:pPr>
      <w:r>
        <w:rPr>
          <w:color w:val="1B4332"/>
        </w:rPr>
        <w:t>IV | Intervenciones de Capacity Building</w:t>
      </w:r>
    </w:p>
    <w:tbl>
      <w:tblPr>
        <w:tblStyle w:val="TableGrid"/>
        <w:tblW w:type="auto" w:w="0"/>
        <w:tblLook w:firstColumn="1" w:firstRow="1" w:lastColumn="0" w:lastRow="0" w:noHBand="0" w:noVBand="1" w:val="04A0"/>
      </w:tblPr>
      <w:tblGrid>
        <w:gridCol w:w="9406"/>
      </w:tblGrid>
      <w:tr>
        <w:tc>
          <w:tcPr>
            <w:tcW w:type="dxa" w:w="9406"/>
            <w:shd w:val="clear" w:color="auto" w:fill="FFF3E0"/>
          </w:tcPr>
          <w:p/>
          <w:p>
            <w:r>
              <w:rPr>
                <w:sz w:val="19"/>
              </w:rPr>
              <w:t>ANCLAJE BLANDO: [Capacitación en técnicas analíticas, desarrollo de cultura de evidencia, transferencia de metodologías de evaluación]</w:t>
              <w:br/>
              <w:br/>
              <w:t>REFORMA ESTRUCTURAL: [Fortalecimiento de infraestructura de datos, creación de unidades de análisis, mejora de sistemas de información]</w:t>
              <w:br/>
              <w:br/>
              <w:t>El artículo es principalmente diagnóstico, no prescriptivo en términos de intervenciones específicas.</w:t>
            </w:r>
          </w:p>
        </w:tc>
      </w:tr>
    </w:tbl>
    <w:p/>
    <w:p>
      <w:pPr>
        <w:pStyle w:val="Heading2"/>
      </w:pPr>
      <w:r>
        <w:rPr>
          <w:color w:val="1B4332"/>
        </w:rPr>
        <w:t>V | Cadena causal: Intervención → Capacidad</w:t>
      </w:r>
    </w:p>
    <w:tbl>
      <w:tblPr>
        <w:tblStyle w:val="TableGrid"/>
        <w:tblW w:type="auto" w:w="0"/>
        <w:tblLook w:firstColumn="1" w:firstRow="1" w:lastColumn="0" w:lastRow="0" w:noHBand="0" w:noVBand="1" w:val="04A0"/>
      </w:tblPr>
      <w:tblGrid>
        <w:gridCol w:w="9406"/>
      </w:tblGrid>
      <w:tr>
        <w:tc>
          <w:tcPr>
            <w:tcW w:type="dxa" w:w="9406"/>
            <w:shd w:val="clear" w:color="auto" w:fill="FCE4EC"/>
          </w:tcPr>
          <w:p/>
          <w:p>
            <w:r>
              <w:rPr>
                <w:b/>
                <w:color w:val="1B4332"/>
                <w:sz w:val="20"/>
              </w:rPr>
              <w:t>Intervención → Mecanismo → Celda → Moderador</w:t>
            </w:r>
          </w:p>
          <w:p>
            <w:r>
              <w:rPr>
                <w:sz w:val="19"/>
              </w:rPr>
              <w:t>Capacidad analítica insuficiente → fallas en utilización de evidencia → decisiones basadas en información inadecuada → fallas de política → resultados subóptimos</w:t>
              <w:br/>
              <w:br/>
              <w:t>Fortalecimiento de capacidad analítica → mejor recolección y análisis de datos → decisiones más informadas → aprendizaje de políticas → reducción de fallas → mejores resultados</w:t>
              <w:br/>
              <w:br/>
              <w:t>Inversión en recursos analíticos → mayor capacidad individual y organizacional → implementación exitosa de evidence-based policy-making → moderado por restricciones institucionales</w:t>
            </w:r>
          </w:p>
        </w:tc>
      </w:tr>
    </w:tbl>
    <w:p/>
    <w:p>
      <w:pPr>
        <w:pStyle w:val="Heading2"/>
      </w:pPr>
      <w:r>
        <w:rPr>
          <w:color w:val="1B4332"/>
        </w:rPr>
        <w:t>VI | Condiciones estructurales (facilitadoras/inhibidoras)</w:t>
      </w:r>
    </w:p>
    <w:p>
      <w:r>
        <w:rPr>
          <w:sz w:val="20"/>
        </w:rPr>
        <w:t>FACILITADORES:</w:t>
        <w:br/>
        <w:t>- Cultura organizacional de apertura: ambiente que alienta transparencia y asunción de riesgos calculados</w:t>
        <w:br/>
        <w:t>- Disponibilidad de datos de calidad: infraestructura informacional robusta para análisis</w:t>
        <w:br/>
        <w:t>- Recursos humanos calificados: personal con competencias metodológicas y analíticas</w:t>
        <w:br/>
        <w:br/>
        <w:t>INHIBIDORES:</w:t>
        <w:br/>
        <w:t>- Recursos limitados: organizaciones gubernamentales y no-gubernamentales con capacidades analíticas insuficientes</w:t>
        <w:br/>
        <w:t>- Restricciones constitucionales/jurisdiccionales: divisiones de poder que limitan racionalidad en asignación de responsabilidades</w:t>
        <w:br/>
        <w:t>- Falta de estándares sectoriales: ausencia de metodologías gold-standard en muchos sectores de política</w:t>
      </w:r>
    </w:p>
    <w:p>
      <w:pPr>
        <w:pStyle w:val="Heading2"/>
      </w:pPr>
      <w:r>
        <w:rPr>
          <w:color w:val="1B4332"/>
        </w:rPr>
        <w:t>VII | Comparabilidad contextual con Rionegro</w:t>
      </w:r>
    </w:p>
    <w:p>
      <w:r>
        <w:rPr>
          <w:b/>
          <w:sz w:val="20"/>
        </w:rPr>
        <w:t xml:space="preserve">País: </w:t>
      </w:r>
      <w:r>
        <w:rPr>
          <w:sz w:val="20"/>
        </w:rPr>
        <w:t>Canadá</w:t>
      </w:r>
    </w:p>
    <w:p>
      <w:r>
        <w:rPr>
          <w:b/>
          <w:sz w:val="20"/>
        </w:rPr>
        <w:t xml:space="preserve">Nivel de gobierno: </w:t>
      </w:r>
      <w:r>
        <w:rPr>
          <w:sz w:val="20"/>
        </w:rPr>
        <w:t>Múltiple (enfoque transversal)</w:t>
      </w:r>
    </w:p>
    <w:p>
      <w:r>
        <w:rPr>
          <w:b/>
          <w:sz w:val="20"/>
        </w:rPr>
        <w:t xml:space="preserve">Tamaño del gobierno: </w:t>
      </w:r>
      <w:r>
        <w:rPr>
          <w:sz w:val="20"/>
        </w:rPr>
        <w:t>Variado (países desarrollados)</w:t>
      </w:r>
    </w:p>
    <w:p>
      <w:r>
        <w:rPr>
          <w:b/>
          <w:sz w:val="20"/>
        </w:rPr>
        <w:t xml:space="preserve">Ingreso/Categoría fiscal: </w:t>
      </w:r>
      <w:r>
        <w:rPr>
          <w:sz w:val="20"/>
        </w:rPr>
        <w:t>Alto</w:t>
      </w:r>
    </w:p>
    <w:p>
      <w:r>
        <w:rPr>
          <w:b/>
          <w:sz w:val="20"/>
        </w:rPr>
        <w:t xml:space="preserve">Tipo de régimen burocrático: </w:t>
      </w:r>
      <w:r>
        <w:rPr>
          <w:sz w:val="20"/>
        </w:rPr>
        <w:t>Weberiano desarrollado</w:t>
      </w:r>
    </w:p>
    <w:p>
      <w:r>
        <w:rPr>
          <w:b/>
          <w:sz w:val="20"/>
        </w:rPr>
        <w:t xml:space="preserve">Sector de política: </w:t>
      </w:r>
      <w:r>
        <w:rPr>
          <w:sz w:val="20"/>
        </w:rPr>
        <w:t>Transversal</w:t>
      </w:r>
    </w:p>
    <w:p>
      <w:r>
        <w:rPr>
          <w:b/>
          <w:sz w:val="20"/>
        </w:rPr>
        <w:t xml:space="preserve">Comparabilidad con Rionegro: </w:t>
      </w:r>
      <w:r>
        <w:rPr>
          <w:sz w:val="20"/>
        </w:rPr>
        <w:t>Media</w:t>
      </w:r>
    </w:p>
    <w:p>
      <w:r>
        <w:rPr>
          <w:b/>
          <w:sz w:val="20"/>
        </w:rPr>
        <w:t xml:space="preserve">Justificación: </w:t>
      </w:r>
      <w:r>
        <w:rPr>
          <w:sz w:val="20"/>
        </w:rPr>
        <w:t>Contexto de país desarrollado vs. municipio colombiano, pero marco conceptual de capacidad analítica es transferible; desafíos de recursos limitados son comparables</w:t>
      </w:r>
    </w:p>
    <w:p>
      <w:pPr>
        <w:pStyle w:val="Heading2"/>
      </w:pPr>
      <w:r>
        <w:rPr>
          <w:color w:val="1B4332"/>
        </w:rPr>
        <w:t>VIII | Conexión con las 4 preguntas empíricas</w:t>
      </w:r>
    </w:p>
    <w:p>
      <w:r>
        <w:rPr>
          <w:sz w:val="20"/>
        </w:rPr>
        <w:t>P1 — Anclaje duro → nivel organizacional: Sugiere que infraestructura de datos y procedimientos formales son críticos para capacidad organizacional</w:t>
      </w:r>
      <w:r>
        <w:rPr>
          <w:b/>
          <w:color w:val="2E7D32"/>
          <w:sz w:val="20"/>
        </w:rPr>
        <w:t xml:space="preserve">  →  Soporta</w:t>
      </w:r>
    </w:p>
    <w:p>
      <w:r>
        <w:rPr>
          <w:sz w:val="20"/>
        </w:rPr>
        <w:t>P2 — Intervenciones blandas → individual/político: Enfatiza desarrollo de competencias individuales y cultura como base de capacidad analítica</w:t>
      </w:r>
      <w:r>
        <w:rPr>
          <w:b/>
          <w:color w:val="2E7D32"/>
          <w:sz w:val="20"/>
        </w:rPr>
        <w:t xml:space="preserve">  →  Soporta</w:t>
      </w:r>
    </w:p>
    <w:p>
      <w:r>
        <w:rPr>
          <w:sz w:val="20"/>
        </w:rPr>
        <w:t>P3 — Inercia dimensional → restricciones estructurales: Identifica restricciones constitucionales y de recursos como limitantes estructurales</w:t>
      </w:r>
      <w:r>
        <w:rPr>
          <w:b/>
          <w:color w:val="2E7D32"/>
          <w:sz w:val="20"/>
        </w:rPr>
        <w:t xml:space="preserve">  →  Soporta</w:t>
      </w:r>
    </w:p>
    <w:p>
      <w:r>
        <w:rPr>
          <w:sz w:val="20"/>
        </w:rPr>
        <w:t>P4 — Apropiación superficial vs. real: Advierte sobre diferencia entre retórica evidence-based y capacidad real de implementación</w:t>
      </w:r>
      <w:r>
        <w:rPr>
          <w:b/>
          <w:color w:val="1565C0"/>
          <w:sz w:val="20"/>
        </w:rPr>
        <w:t xml:space="preserve">  →  Extiende</w:t>
      </w:r>
    </w:p>
    <w:p>
      <w:pPr>
        <w:pStyle w:val="Heading2"/>
      </w:pPr>
      <w:r>
        <w:rPr>
          <w:color w:val="1B4332"/>
        </w:rPr>
        <w:t>IX | Citas estratégicas categorizadas</w:t>
      </w:r>
    </w:p>
    <w:p>
      <w:pPr>
        <w:pStyle w:val="Heading3"/>
      </w:pPr>
      <w:r>
        <w:rPr>
          <w:color w:val="4A148C"/>
        </w:rPr>
        <w:t>Para Marco Teórico</w:t>
      </w:r>
    </w:p>
    <w:p>
      <w:pPr>
        <w:ind w:left="567" w:right="567"/>
      </w:pPr>
      <w:r>
        <w:rPr>
          <w:i/>
          <w:color w:val="444444"/>
          <w:sz w:val="19"/>
        </w:rPr>
        <w:t>""Organizations require a level of human, financial, network and knowledge resources enabling them to perform evidence-based policy tasks" (p.156)"</w:t>
      </w:r>
    </w:p>
    <w:p>
      <w:pPr>
        <w:ind w:left="567" w:right="567"/>
      </w:pPr>
      <w:r>
        <w:rPr>
          <w:i/>
          <w:color w:val="444444"/>
          <w:sz w:val="19"/>
        </w:rPr>
        <w:t>""Policy analytical capacity pertains to both governmental and non-governmental actors in contemporary policy-making processes" (p.153)"</w:t>
      </w:r>
    </w:p>
    <w:p>
      <w:pPr>
        <w:ind w:left="567" w:right="567"/>
      </w:pPr>
      <w:r>
        <w:rPr>
          <w:i/>
          <w:color w:val="444444"/>
          <w:sz w:val="19"/>
        </w:rPr>
        <w:t>""Evidence-based policy-making represents a compromise between political and technocratic views of policy-making" (p.155)"</w:t>
      </w:r>
    </w:p>
    <w:p>
      <w:pPr>
        <w:pStyle w:val="Heading3"/>
      </w:pPr>
      <w:r>
        <w:rPr>
          <w:color w:val="0D47A1"/>
        </w:rPr>
        <w:t>Para Metodología</w:t>
      </w:r>
    </w:p>
    <w:p>
      <w:pPr>
        <w:ind w:left="567" w:right="567"/>
      </w:pPr>
      <w:r>
        <w:rPr>
          <w:i/>
          <w:color w:val="444444"/>
          <w:sz w:val="19"/>
        </w:rPr>
        <w:t>""Many recent studies suggest that the level of policy analytical capacity found in organizations is low" (p.156)"</w:t>
      </w:r>
    </w:p>
    <w:p>
      <w:pPr>
        <w:ind w:left="567" w:right="567"/>
      </w:pPr>
      <w:r>
        <w:rPr>
          <w:i/>
          <w:color w:val="444444"/>
          <w:sz w:val="19"/>
        </w:rPr>
        <w:t>""Without analytical capability, policy actors may only marshal resources in particular areas, resulting in 'lumpy' competences" (p.156)"</w:t>
      </w:r>
    </w:p>
    <w:p>
      <w:pPr>
        <w:pStyle w:val="Heading3"/>
      </w:pPr>
      <w:r>
        <w:rPr>
          <w:color w:val="BF360C"/>
        </w:rPr>
        <w:t>Para Discusión</w:t>
      </w:r>
    </w:p>
    <w:p>
      <w:pPr>
        <w:ind w:left="567" w:right="567"/>
      </w:pPr>
      <w:r>
        <w:rPr>
          <w:i/>
          <w:color w:val="444444"/>
          <w:sz w:val="19"/>
        </w:rPr>
        <w:t>""Evidence-based policy-making requires that policy actors have the analytical capability required to collect and utilize data effectively" (p.155)"</w:t>
      </w:r>
    </w:p>
    <w:p>
      <w:pPr>
        <w:ind w:left="567" w:right="567"/>
      </w:pPr>
      <w:r>
        <w:rPr>
          <w:i/>
          <w:color w:val="444444"/>
          <w:sz w:val="19"/>
        </w:rPr>
        <w:t>""A significant factor affecting evidence-based policy-making pertains to the level of 'policy analytical capacity'" (p.153)"</w:t>
      </w:r>
    </w:p>
    <w:p>
      <w:pPr>
        <w:ind w:left="567" w:right="567"/>
      </w:pPr>
      <w:r>
        <w:rPr>
          <w:i/>
          <w:color w:val="444444"/>
          <w:sz w:val="19"/>
        </w:rPr>
        <w:t>""Enhanced information processing and utilization will result in policy learning and avoidance of policy failures" (p.156)"</w:t>
      </w:r>
    </w:p>
    <w:p>
      <w:pPr>
        <w:pStyle w:val="Heading2"/>
      </w:pPr>
      <w:r>
        <w:rPr>
          <w:color w:val="1B4332"/>
        </w:rPr>
        <w:t>X | Vacíos estratégicos</w:t>
      </w:r>
    </w:p>
    <w:p>
      <w:r>
        <w:rPr>
          <w:sz w:val="20"/>
        </w:rPr>
        <w:t>1. No operacionaliza indicadores concretos para medir capacidad analítica</w:t>
        <w:br/>
        <w:t>2. No distingue entre niveles individual, organizacional y sistémico de capacidad</w:t>
        <w:br/>
        <w:t>3. No aborda específicamente contextos de alta dependencia de contratistas</w:t>
        <w:br/>
        <w:t>4. No propone intervenciones diferenciadas por tipo de restricción estructural</w:t>
        <w:br/>
        <w:t>5. No desarrolla instrumentos de medición para evaluar efectividad de intervenciones</w:t>
        <w:br/>
        <w:t>6. No considera dinámicas de rotación de personal en capacidad organizacional</w:t>
      </w:r>
    </w:p>
    <w:p>
      <w:pPr>
        <w:pStyle w:val="Heading2"/>
      </w:pPr>
      <w:r>
        <w:rPr>
          <w:color w:val="1B4332"/>
        </w:rPr>
        <w:t>XI | Evaluación final estratégica</w:t>
      </w:r>
    </w:p>
    <w:p>
      <w:r>
        <w:rPr>
          <w:b/>
          <w:color w:val="1B5E20"/>
          <w:sz w:val="22"/>
        </w:rPr>
        <w:t>● CLASIFICACIÓN: FUNDAMENTAL</w:t>
      </w:r>
    </w:p>
    <w:tbl>
      <w:tblPr>
        <w:tblStyle w:val="TableGrid"/>
        <w:tblW w:type="auto" w:w="0"/>
        <w:tblLook w:firstColumn="1" w:firstRow="1" w:lastColumn="0" w:lastRow="0" w:noHBand="0" w:noVBand="1" w:val="04A0"/>
      </w:tblPr>
      <w:tblGrid>
        <w:gridCol w:w="9406"/>
      </w:tblGrid>
      <w:tr>
        <w:tc>
          <w:tcPr>
            <w:tcW w:type="dxa" w:w="9406"/>
            <w:shd w:val="clear" w:color="auto" w:fill="FFF8E1"/>
          </w:tcPr>
          <w:p/>
          <w:p>
            <w:r>
              <w:rPr>
                <w:sz w:val="19"/>
              </w:rPr>
              <w:t>Este artículo es fundamental para el marco teórico del proyecto Rionegro por su conceptualización seminal de la capacidad analítica como prerequisito para políticas basadas en evidencia. Su principal aporte a la matriz de 9 celdas está en las dimensiones AI (competencias metodológicas individuales), AO (infraestructura organizacional de datos) y OO (recursos humanos y financieros). El análisis de Howlett sobre las restricciones de recursos y la distinción entre retórica evidence-based y capacidad real de implementación es directamente relevante para entender los desafíos de Rionegro. Su identificación de capacidades "grumosas" donde algunas organizaciones son fuertes en ciertas áreas pero débiles en otras proporciona un marco para entender patrones diferenciales de capacidad. Sin embargo, requiere operacionalización empírica que el proyecto Rionegro puede aportar mediante instrumentos específicos de medición en contextos de contractor-dominated municipalities.</w:t>
            </w:r>
          </w:p>
        </w:tc>
      </w:tr>
    </w:tbl>
    <w:p/>
    <w:p>
      <w:pPr>
        <w:jc w:val="right"/>
      </w:pPr>
      <w:r>
        <w:rPr>
          <w:i/>
          <w:color w:val="999999"/>
          <w:sz w:val="16"/>
        </w:rPr>
        <w:t>Ficha generada automáticamente · 09/04/2026 · Proyecto Capacidades Rionegro · PCF Wu et al. · v2</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