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Woo, J. J. (2021). Capacity-building and Pandemics: Singapore's Response to Covid-19. Palgrave Macmillan.</w:t>
      </w:r>
    </w:p>
    <w:p>
      <w:pPr>
        <w:jc w:val="center"/>
      </w:pPr>
      <w:r>
        <w:rPr>
          <w:b/>
          <w:color w:val="E65100"/>
          <w:sz w:val="22"/>
        </w:rPr>
        <w:t>● IMPORTANTE ● Puntaje matriz: 18/27</w:t>
      </w:r>
    </w:p>
    <w:p/>
    <w:p>
      <w:pPr>
        <w:pStyle w:val="Heading1"/>
      </w:pPr>
      <w:r>
        <w:rPr>
          <w:color w:val="1B4332"/>
        </w:rPr>
        <w:t>PARTE I — FICHA GENÉRICA DEL ARTÍCULO</w:t>
      </w:r>
    </w:p>
    <w:p>
      <w:pPr>
        <w:pStyle w:val="Heading2"/>
      </w:pPr>
      <w:r>
        <w:rPr>
          <w:color w:val="1B4332"/>
        </w:rPr>
        <w:t>1 | Referencia bibliográfica (APA 7)</w:t>
      </w:r>
    </w:p>
    <w:p>
      <w:r>
        <w:rPr>
          <w:sz w:val="20"/>
        </w:rPr>
        <w:t>Woo, J. J. (2021). Capacity-building and Pandemics: Singapore's Response to Covid-19. Palgrave Macmillan.</w:t>
      </w:r>
    </w:p>
    <w:p>
      <w:pPr>
        <w:pStyle w:val="Heading2"/>
      </w:pPr>
      <w:r>
        <w:rPr>
          <w:color w:val="1B4332"/>
        </w:rPr>
        <w:t>2 | Objetivo explícito del autor</w:t>
      </w:r>
    </w:p>
    <w:p>
      <w:r>
        <w:rPr>
          <w:sz w:val="20"/>
        </w:rPr>
        <w:t>Examinar las capacidades de política desarrolladas tras la crisis del SARS y cómo estas fueron movilizadas durante la respuesta de Singapur al COVID-19. Identificar las deficiencias de capacidad que crearon puntos ciegos en la política pública durante la pandemia.</w:t>
      </w:r>
    </w:p>
    <w:p>
      <w:pPr>
        <w:ind w:left="567" w:right="567"/>
      </w:pPr>
      <w:r>
        <w:rPr>
          <w:i/>
          <w:color w:val="444444"/>
          <w:sz w:val="19"/>
        </w:rPr>
        <w:t>""provide a deeper understanding of how policy capacity can be built up and mobilised in response to a policy crisis" (p. viii)"</w:t>
      </w:r>
    </w:p>
    <w:p>
      <w:pPr>
        <w:pStyle w:val="Heading2"/>
      </w:pPr>
      <w:r>
        <w:rPr>
          <w:color w:val="1B4332"/>
        </w:rPr>
        <w:t>3 | Pregunta de investigación</w:t>
      </w:r>
    </w:p>
    <w:p>
      <w:pPr>
        <w:ind w:left="567" w:right="567"/>
      </w:pPr>
      <w:r>
        <w:rPr>
          <w:i/>
          <w:color w:val="444444"/>
          <w:sz w:val="19"/>
        </w:rPr>
        <w:t>"¿Cómo las capacidades de política construidas después de la crisis del SARS contribuyeron a la respuesta de Singapur al COVID-19 y qué deficiencias explican los resultados de doble vía observados?"</w:t>
      </w:r>
    </w:p>
    <w:p>
      <w:pPr>
        <w:pStyle w:val="Heading2"/>
      </w:pPr>
      <w:r>
        <w:rPr>
          <w:color w:val="1B4332"/>
        </w:rPr>
        <w:t>4 | Tesis central</w:t>
      </w:r>
    </w:p>
    <w:p>
      <w:r>
        <w:rPr>
          <w:sz w:val="20"/>
        </w:rPr>
        <w:t>La respuesta de Singapur al COVID-19 se caracterizó por un resultado de doble vía: éxito en minimizar muertes y contener la transmisión comunitaria, pero altas tasas de infección en dormitorios de trabajadores migrantes. Este patrón puede explicarse mediante el enfoque de capacidad de política, donde los éxitos se deben a la construcción previsora de capacidades post-SARS y su movilización efectiva, mientras que las limitaciones se atribuyen a deficiencias en capacidad analítica que crearon puntos ciegos respecto a los riesgos en poblaciones vulnerables.</w:t>
      </w:r>
    </w:p>
    <w:p>
      <w:pPr>
        <w:ind w:left="567" w:right="567"/>
      </w:pPr>
      <w:r>
        <w:rPr>
          <w:i/>
          <w:color w:val="444444"/>
          <w:sz w:val="19"/>
        </w:rPr>
        <w:t>""The story of Singapore's experience with the Covid-19 pandemic is essentially centred on policy capacity" (p. 3)"</w:t>
      </w:r>
    </w:p>
    <w:p>
      <w:pPr>
        <w:pStyle w:val="Heading2"/>
      </w:pPr>
      <w:r>
        <w:rPr>
          <w:color w:val="1B4332"/>
        </w:rPr>
        <w:t>5 | Marco teórico utilizado</w:t>
      </w:r>
    </w:p>
    <w:p>
      <w:r>
        <w:rPr>
          <w:sz w:val="20"/>
        </w:rPr>
        <w:t>1. **Policy Capacity Framework**: Marco analítico emergente para entender recursos y capacidades gubernamentales</w:t>
        <w:br/>
        <w:t>2. **New Public Management (NPM)**: Modelo dominante de gestión pública centrado en optimización de recursos</w:t>
        <w:br/>
        <w:t>3. **Developmental State Model**: Modelo asiático de desarrollo enfocado en crecimiento económico y eficiencia administrativa</w:t>
        <w:br/>
        <w:t>4. **Rational Choice Theory**: Enfoque teórico basado en lógicas de minimización de costos y maximización de beneficios</w:t>
        <w:br/>
        <w:t>5. **Robustness Theory**: Capacidad de sistemas para mantener funcionalidad ante perturbaciones externas</w:t>
      </w:r>
    </w:p>
    <w:p>
      <w:pPr>
        <w:pStyle w:val="Heading2"/>
      </w:pPr>
      <w:r>
        <w:rPr>
          <w:color w:val="1B4332"/>
        </w:rPr>
        <w:t>7 | Conceptos clave</w:t>
      </w:r>
    </w:p>
    <w:p>
      <w:r>
        <w:rPr>
          <w:sz w:val="20"/>
        </w:rPr>
        <w:t>1. **Policy Capacity** (p. 3): Recursos y capacidades institucionales que pueden establecerse para abordar pandemias futuras</w:t>
        <w:br/>
        <w:t>2. **Excess Capacity/Slack** (p. 5): Recursos y capacidades mantenidos por encima de necesidades ordinarias para movilización en crisis</w:t>
        <w:br/>
        <w:t>3. **Circuit Breaker** (p. 1): Confinamiento de facto implementado el 7 de abril de 2020 con restricciones sociales y económicas</w:t>
        <w:br/>
        <w:t>4. **Analytical Blind-spots** (p. 3): Deficiencias en capacidad analítica que impiden evaluación precisa de riesgos</w:t>
        <w:br/>
        <w:t>5. **Dual-track Outcome** (p. 3): Resultado caracterizado por bajas muertes pero altas tasas de infección</w:t>
        <w:br/>
        <w:t>6. **Robustness** (p. 7): Capacidad de un sistema para mantener estabilidad funcional ante shocks externos</w:t>
      </w:r>
    </w:p>
    <w:p>
      <w:pPr>
        <w:pStyle w:val="Heading2"/>
      </w:pPr>
      <w:r>
        <w:rPr>
          <w:color w:val="1B4332"/>
        </w:rPr>
        <w:t>8 | Reconstrucción analítica del argumento</w:t>
      </w:r>
    </w:p>
    <w:p>
      <w:r>
        <w:rPr>
          <w:sz w:val="20"/>
        </w:rPr>
        <w:t>**Hipótesis**: Las capacidades construidas post-SARS explican tanto éxitos como limitaciones en la respuesta al COVID-19. **Resultados**: Singapur logró baja mortalidad y contención comunitaria pero experimentó brotes masivos en dormitorios. **Mecanismo causal**: Capacidades operativas efectivas (infraestructura, rastreo) vs. deficiencias en capacidad analítica para poblaciones vulnerables. **Hallazgos inesperados**: La tensión entre optimización de recursos NPM y necesidad de capacidades excedentes para robustez sistémica.</w:t>
      </w:r>
    </w:p>
    <w:p>
      <w:pPr>
        <w:pStyle w:val="Heading2"/>
      </w:pPr>
      <w:r>
        <w:rPr>
          <w:color w:val="1B4332"/>
        </w:rPr>
        <w:t>10 | Aportes principales</w:t>
      </w:r>
    </w:p>
    <w:p>
      <w:r>
        <w:rPr>
          <w:sz w:val="20"/>
        </w:rPr>
        <w:t>1. Desarrollo del marco de capacidad de política para análisis de respuestas pandémicas</w:t>
        <w:br/>
        <w:t>2. Identificación de la tensión entre NPM y necesidad de capacidades excedentes</w:t>
        <w:br/>
        <w:t>3. Conceptualización de robustness como propiedad manipulable del sistema de políticas</w:t>
        <w:br/>
        <w:t>4. Explicación sistemática del resultado de doble vía en la respuesta singapurense</w:t>
        <w:br/>
        <w:t>5. Marco para evaluación de preparación pandémica basado en capacidades</w:t>
      </w:r>
    </w:p>
    <w:p>
      <w:pPr>
        <w:pStyle w:val="Heading2"/>
      </w:pPr>
      <w:r>
        <w:rPr>
          <w:color w:val="1B4332"/>
        </w:rPr>
        <w:t>11 | Limitaciones</w:t>
      </w:r>
    </w:p>
    <w:p>
      <w:r>
        <w:rPr>
          <w:sz w:val="20"/>
        </w:rPr>
        <w:t>1. Enfoque en un solo caso nacional limita generalización</w:t>
        <w:br/>
        <w:t>2. Análisis temporal limitado al período inicial de la pandemia</w:t>
        <w:br/>
        <w:t>3. Datos sobre reservas nacionales clasificados como secreto de estado</w:t>
        <w:br/>
        <w:t>4. Acceso limitado a procesos de toma de decisiones internos</w:t>
      </w:r>
    </w:p>
    <w:p>
      <w:pPr>
        <w:pStyle w:val="Heading2"/>
      </w:pPr>
      <w:r>
        <w:rPr>
          <w:color w:val="1B4332"/>
        </w:rPr>
        <w:t>12 | Conexión con debates mayores</w:t>
      </w:r>
    </w:p>
    <w:p>
      <w:r>
        <w:rPr>
          <w:sz w:val="20"/>
        </w:rPr>
        <w:t>Contribuye a debates sobre **state capacity** y **capacity building** al proponer marco específico para crisis sanitarias. Desafía supuestos del **NPM** sobre optimización de recursos, sugiriendo necesidad de capacidades excedentes. Conecta con literatura de **gobernanza multinivel** al analizar coordinación entre agencias. Aporta a discusiones sobre **descentralización** desde perspectiva de capacidades centralizadas para respuesta a crisis.</w:t>
      </w:r>
    </w:p>
    <w:p>
      <w:pPr>
        <w:pStyle w:val="Heading2"/>
      </w:pPr>
      <w:r>
        <w:rPr>
          <w:color w:val="1B4332"/>
        </w:rPr>
        <w:t>13 | Observaciones críticas propias</w:t>
      </w:r>
    </w:p>
    <w:p>
      <w:r>
        <w:rPr>
          <w:sz w:val="20"/>
        </w:rPr>
        <w:t>El análisis presenta tensiones no completamente resueltas entre eficiencia NPM y robustez sistémica. Los supuestos sobre la superioridad del modelo singapurense no son suficientemente problematizados considerando limitaciones democráticas. La extensión del marco a contextos con diferentes capacidades estatales y sistemas políticos requiere mayor elaboración teórica.</w:t>
      </w:r>
    </w:p>
    <w:p>
      <w:pPr>
        <w:pStyle w:val="Heading2"/>
      </w:pPr>
      <w:r>
        <w:rPr>
          <w:color w:val="1B4332"/>
        </w:rPr>
        <w:t>6 | Tipo de investigación y metodología</w:t>
      </w:r>
    </w:p>
    <w:p>
      <w:r>
        <w:rPr>
          <w:b/>
          <w:sz w:val="20"/>
        </w:rPr>
        <w:t xml:space="preserve">Diseño: </w:t>
      </w:r>
      <w:r>
        <w:rPr>
          <w:sz w:val="20"/>
        </w:rPr>
        <w:t>Estudio de caso cualitativo longitudinal</w:t>
      </w:r>
    </w:p>
    <w:p>
      <w:r>
        <w:rPr>
          <w:b/>
          <w:sz w:val="20"/>
        </w:rPr>
        <w:t xml:space="preserve">Universo: </w:t>
      </w:r>
      <w:r>
        <w:rPr>
          <w:sz w:val="20"/>
        </w:rPr>
        <w:t>Respuesta gubernamental de Singapur al COVID-19</w:t>
      </w:r>
    </w:p>
    <w:p>
      <w:r>
        <w:rPr>
          <w:b/>
          <w:sz w:val="20"/>
        </w:rPr>
        <w:t xml:space="preserve">Muestra: </w:t>
      </w:r>
      <w:r>
        <w:rPr>
          <w:sz w:val="20"/>
        </w:rPr>
        <w:t>Instituciones y procesos de política pública singapurenses (2003-2020)</w:t>
      </w:r>
    </w:p>
    <w:p>
      <w:r>
        <w:rPr>
          <w:b/>
          <w:sz w:val="20"/>
        </w:rPr>
        <w:t xml:space="preserve">Instrumentos: </w:t>
      </w:r>
      <w:r>
        <w:rPr>
          <w:sz w:val="20"/>
        </w:rPr>
        <w:t>Análisis documental, revisión de políticas públicas</w:t>
      </w:r>
    </w:p>
    <w:p>
      <w:r>
        <w:rPr>
          <w:b/>
          <w:sz w:val="20"/>
        </w:rPr>
        <w:t xml:space="preserve">Variable dependiente: </w:t>
      </w:r>
      <w:r>
        <w:rPr>
          <w:sz w:val="20"/>
        </w:rPr>
        <w:t>Efectividad de la respuesta pandémica</w:t>
      </w:r>
    </w:p>
    <w:p>
      <w:r>
        <w:rPr>
          <w:b/>
          <w:sz w:val="20"/>
        </w:rPr>
        <w:t xml:space="preserve">Variables independientes: </w:t>
      </w:r>
      <w:r>
        <w:rPr>
          <w:sz w:val="20"/>
        </w:rPr>
        <w:t>Capacidades de política desarrolladas post-SARS</w:t>
      </w:r>
    </w:p>
    <w:p>
      <w:r>
        <w:rPr>
          <w:b/>
          <w:sz w:val="20"/>
        </w:rPr>
        <w:t xml:space="preserve">Análisis: </w:t>
      </w:r>
      <w:r>
        <w:rPr>
          <w:sz w:val="20"/>
        </w:rPr>
        <w:t>Análisis institucional y de procesos de política</w:t>
      </w:r>
    </w:p>
    <w:p>
      <w:r>
        <w:rPr>
          <w:b/>
          <w:sz w:val="20"/>
        </w:rPr>
        <w:t xml:space="preserve">País/Nivel de gobierno: </w:t>
      </w:r>
      <w:r>
        <w:rPr>
          <w:sz w:val="20"/>
        </w:rPr>
        <w:t>Singapur - nivel nacional</w:t>
      </w:r>
    </w:p>
    <w:p>
      <w:pPr>
        <w:pStyle w:val="Heading2"/>
      </w:pPr>
      <w:r>
        <w:rPr>
          <w:color w:val="1B4332"/>
        </w:rPr>
        <w:t>9 | Evidencia empírica / estadística</w:t>
      </w:r>
    </w:p>
    <w:p>
      <w:r>
        <w:rPr>
          <w:sz w:val="20"/>
        </w:rPr>
        <w:t>- 55,000+ infecciones confirmadas con 27 muertes al momento de escritura</w:t>
        <w:br/>
        <w:t>- Contracción económica proyectada de 5.8% en 2020</w:t>
        <w:br/>
        <w:t>- Desempleo más alto en una década (25,600 empleos perdidos Q1 2020)</w:t>
        <w:br/>
        <w:t>- Harvard T.H. Chan School calificó detección temprana como "gold standard"</w:t>
        <w:br/>
        <w:t>- Establecimiento de NCID en 2019 y expansión de salas de aislamiento post-SARS</w:t>
        <w:br/>
        <w:t>- Reservas nacionales estimadas en +SG$500 mil millones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Woo desarrolla un marco analítico innovador que explica la respuesta paradójica de Singapur al COVID-19 a través del lente de capacidad de política. Su argumento central sostiene que el éxito relativo en contención y baja mortalidad refleja capacidades construidas sistemáticamente post-SARS, mientras que los brotes en dormitorios revelan deficiencias analíticas críticas. El trabajo desafía ortodoxias del NPM al demostrar la importancia de capacidades excedentes para robustez sistémica. Su contribución principal radica en proporcionar un marco sistemático para evaluar preparación pandémica que trasciende enfoques puramente epidemiológicos. La relevancia del estudio se extiende más allá del caso singapurense, ofreciendo herramientas conceptuales para analizar respuestas gubernamentales a crisis sanitarias globales. Sin embargo, la generalización de sus hallazgos requiere validación en contextos con diferentes capacidades estatales y arreglos institucionales.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Desarrolla concepto de "analytical blind spots" y déficits de capacidad analítica individu</w:t>
            </w:r>
          </w:p>
        </w:tc>
        <w:tc>
          <w:tcPr>
            <w:tcW w:type="dxa" w:w="2351"/>
            <w:shd w:val="clear" w:color="auto" w:fill="FFF9C4"/>
          </w:tcPr>
          <w:p>
            <w:r>
              <w:rPr>
                <w:b/>
                <w:color w:val="F57F17"/>
                <w:sz w:val="16"/>
              </w:rPr>
              <w:t xml:space="preserve">[1] </w:t>
            </w:r>
            <w:r>
              <w:rPr>
                <w:sz w:val="14"/>
              </w:rPr>
              <w:t>Menciona liderazgo de crisis pero no desarrolla como capacidad individual operativa</w:t>
            </w:r>
          </w:p>
        </w:tc>
        <w:tc>
          <w:tcPr>
            <w:tcW w:type="dxa" w:w="2351"/>
            <w:shd w:val="clear" w:color="auto" w:fill="FFF9C4"/>
          </w:tcPr>
          <w:p>
            <w:r>
              <w:rPr>
                <w:b/>
                <w:color w:val="F57F17"/>
                <w:sz w:val="16"/>
              </w:rPr>
              <w:t xml:space="preserve">[1] </w:t>
            </w:r>
            <w:r>
              <w:rPr>
                <w:sz w:val="14"/>
              </w:rPr>
              <w:t>Referencia tangencial a habilidades de comunicación política durante crisis</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Propone infraestructura de datos, sistemas de monitoreo, memoria institucional post-SARS c</w:t>
            </w:r>
          </w:p>
        </w:tc>
        <w:tc>
          <w:tcPr>
            <w:tcW w:type="dxa" w:w="2351"/>
            <w:shd w:val="clear" w:color="auto" w:fill="2E7D32"/>
          </w:tcPr>
          <w:p>
            <w:r>
              <w:rPr>
                <w:b/>
                <w:color w:val="FFFFFF"/>
                <w:sz w:val="16"/>
              </w:rPr>
              <w:t xml:space="preserve">[3] </w:t>
            </w:r>
            <w:r>
              <w:rPr>
                <w:sz w:val="14"/>
              </w:rPr>
              <w:t>Analiza coordinación inter-ministerial, taskforces, y estructuras organizacionales como ca</w:t>
            </w:r>
          </w:p>
        </w:tc>
        <w:tc>
          <w:tcPr>
            <w:tcW w:type="dxa" w:w="2351"/>
            <w:shd w:val="clear" w:color="auto" w:fill="C8E6C9"/>
          </w:tcPr>
          <w:p>
            <w:r>
              <w:rPr>
                <w:b/>
                <w:color w:val="2E7D32"/>
                <w:sz w:val="16"/>
              </w:rPr>
              <w:t xml:space="preserve">[2] </w:t>
            </w:r>
            <w:r>
              <w:rPr>
                <w:sz w:val="14"/>
              </w:rPr>
              <w:t>Conceptualiza reputación institucional y acceso a decisores como capacidades políticas org</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 xml:space="preserve">Conceptualiza sistemas nacionales de estadísticas sanitarias y arquitectura de datos como </w:t>
            </w:r>
          </w:p>
        </w:tc>
        <w:tc>
          <w:tcPr>
            <w:tcW w:type="dxa" w:w="2351"/>
            <w:shd w:val="clear" w:color="auto" w:fill="C8E6C9"/>
          </w:tcPr>
          <w:p>
            <w:r>
              <w:rPr>
                <w:b/>
                <w:color w:val="2E7D32"/>
                <w:sz w:val="16"/>
              </w:rPr>
              <w:t xml:space="preserve">[2] </w:t>
            </w:r>
            <w:r>
              <w:rPr>
                <w:sz w:val="14"/>
              </w:rPr>
              <w:t>Desarrolla relaciones intergubernamentales y marcos legales de salud pública como capacida</w:t>
            </w:r>
          </w:p>
        </w:tc>
        <w:tc>
          <w:tcPr>
            <w:tcW w:type="dxa" w:w="2351"/>
            <w:shd w:val="clear" w:color="auto" w:fill="C8E6C9"/>
          </w:tcPr>
          <w:p>
            <w:r>
              <w:rPr>
                <w:b/>
                <w:color w:val="2E7D32"/>
                <w:sz w:val="16"/>
              </w:rPr>
              <w:t xml:space="preserve">[2] </w:t>
            </w:r>
            <w:r>
              <w:rPr>
                <w:sz w:val="14"/>
              </w:rPr>
              <w:t>Desarrolla legitimidad gubernamental y confianza pública como resultado de capacidades pol</w:t>
            </w:r>
          </w:p>
        </w:tc>
      </w:tr>
    </w:tbl>
    <w:p/>
    <w:p>
      <w:r>
        <w:rPr>
          <w:sz w:val="18"/>
        </w:rPr>
        <w:t>AI: 2 | Desarrolla concepto de "analytical blind spots" y déficits de capacidad analítica individual en evaluación de riesgos</w:t>
        <w:br/>
        <w:t>AO: 3 | Propone infraestructura de datos, sistemas de monitoreo, memoria institucional post-SARS como capacidad organizacional medible</w:t>
        <w:br/>
        <w:t>AS: 2 | Conceptualiza sistemas nacionales de estadísticas sanitarias y arquitectura de datos como capacidad sistémica</w:t>
        <w:br/>
        <w:t>OI: 1 | Menciona liderazgo de crisis pero no desarrolla como capacidad individual operativa</w:t>
        <w:br/>
        <w:t>OO: 3 | Analiza coordinación inter-ministerial, taskforces, y estructuras organizacionales como capacidades operativas concretas</w:t>
        <w:br/>
        <w:t>OS: 2 | Desarrolla relaciones intergubernamentales y marcos legales de salud pública como capacidades sistémicas</w:t>
        <w:br/>
        <w:t>PI: 1 | Referencia tangencial a habilidades de comunicación política durante crisis</w:t>
        <w:br/>
        <w:t>PO: 2 | Conceptualiza reputación institucional y acceso a decisores como capacidades políticas organizacionales</w:t>
        <w:br/>
        <w:t>PS: 2 | Desarrolla legitimidad gubernamental y confianza pública como resultado de capacidades políticas sistémicas</w:t>
        <w:br/>
        <w:t>CELDAS_PRINCIPALES: AO, OO, AI</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 Indicador: Tiempo de respuesta para activación de infraestructura sanitaria pre-construida</w:t>
              <w:br/>
              <w:t xml:space="preserve">  Celda: AO</w:t>
              <w:br/>
              <w:t xml:space="preserve">  Tipo: Cuantitativo</w:t>
              <w:br/>
              <w:t xml:space="preserve">  Fuente: Registro administrativo</w:t>
              <w:br/>
              <w:t xml:space="preserve">  Adaptable a Rionegro: Sí con ajustes</w:t>
              <w:br/>
              <w:t xml:space="preserve">  Página: No especificada</w:t>
              <w:br/>
              <w:br/>
              <w:t>- Indicador: Número de agencias representadas en taskforce de crisis</w:t>
              <w:br/>
              <w:t xml:space="preserve">  Celda: OO</w:t>
              <w:br/>
              <w:t xml:space="preserve">  Tipo: Cuantitativo</w:t>
              <w:br/>
              <w:t xml:space="preserve">  Fuente: Registro administrativo</w:t>
              <w:br/>
              <w:t xml:space="preserve">  Adaptable a Rionegro: Sí directo</w:t>
              <w:br/>
              <w:t xml:space="preserve">  Página: 71</w:t>
              <w:br/>
              <w:br/>
              <w:t>- Indicador: Existencia de protocolos de coordinación inter-ministerial</w:t>
              <w:br/>
              <w:t xml:space="preserve">  Celda: OO</w:t>
              <w:br/>
              <w:t xml:space="preserve">  Tipo: Cualitativo</w:t>
              <w:br/>
              <w:t xml:space="preserve">  Fuente: Análisis documental</w:t>
              <w:br/>
              <w:t xml:space="preserve">  Adaptable a Rionegro: Sí con ajustes</w:t>
              <w:br/>
              <w:t xml:space="preserve">  Página: No especificada</w:t>
              <w:br/>
              <w:br/>
              <w:t>- Indicador: Capacidad de "robustness" del sistema de políticas</w:t>
              <w:br/>
              <w:t xml:space="preserve">  Celda: AS</w:t>
              <w:br/>
              <w:t xml:space="preserve">  Tipo: Mixto</w:t>
              <w:br/>
              <w:t xml:space="preserve">  Fuente: Índice compuesto</w:t>
              <w:br/>
              <w:t xml:space="preserve">  Adaptable a Rionegro: Sí con ajustes</w:t>
              <w:br/>
              <w:t xml:space="preserve">  Página: No especificada</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DURO: Infraestructura sanitaria pre-construida (hospitales negativos presión), protocolos estandarizados contact tracing, sistemas digitales obligatorios (TraceTogether)</w:t>
              <w:br/>
              <w:t>ANCLAJE BLANDO: Transferencia de conocimiento post-SARS, sensemaking de lecciones aprendidas, cultura organizacional de preparación</w:t>
              <w:br/>
              <w:t>REFORMA ESTRUCTURAL: Reorganización ministerial post-SARS, creación de taskforces permanentes, inversión en infraestructura de datos sanitarios</w:t>
              <w:br/>
              <w:t>OTRO: Enfoque de "exceso de capacidad" contra lógica NPM de optimización</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Crisis SARS → aprendizaje organizacional → construcción capacidades AO → efectividad respuesta COVID → moderado por blind spots analíticos</w:t>
              <w:br/>
              <w:t>Inversión infraestructura → capacidades operativas OO → coordinación inter-agencial → respuesta rápida → moderado por legitimidad política</w:t>
              <w:br/>
              <w:t>Déficit capacidad AI → blind spots analíticos → fallas en evaluación riesgo dormitorios → altas infecciones → no moderado por capacidades OO/AO existentes</w:t>
              <w:br/>
              <w:t>Cultura NPM → optimización recursos → resistencia a "exceso capacidad" → vulnerabilidad a crisis → moderado por modelo desarrollista asiático</w:t>
            </w:r>
          </w:p>
        </w:tc>
      </w:tr>
    </w:tbl>
    <w:p/>
    <w:p>
      <w:pPr>
        <w:pStyle w:val="Heading2"/>
      </w:pPr>
      <w:r>
        <w:rPr>
          <w:color w:val="1B4332"/>
        </w:rPr>
        <w:t>VI | Condiciones estructurales (facilitadoras/inhibidoras)</w:t>
      </w:r>
    </w:p>
    <w:p>
      <w:r>
        <w:rPr>
          <w:sz w:val="20"/>
        </w:rPr>
        <w:t>FACILITADORES:</w:t>
        <w:br/>
        <w:t>- Modelo desarrollista asiático: permite inversión en capacidades excedentes contra lógica NPM</w:t>
        <w:br/>
        <w:t>- Memoria institucional de crisis: SARS como catalizador de capacity building</w:t>
        <w:br/>
        <w:t>- Autonomía fiscal: permite inversión en infraestructura sanitaria "ociosa"</w:t>
        <w:br/>
        <w:t>- Régimen burocrático fuerte: facilita coordinación inter-ministerial efectiva</w:t>
        <w:br/>
        <w:br/>
        <w:t>INHIBIDORES:</w:t>
        <w:br/>
        <w:t>- Lógica NPM: resistencia cultural a "excess capacity" y slack organizacional</w:t>
        <w:br/>
        <w:t>- Analytical blind spots: limitaciones cognitivas en evaluación integral de riesgos</w:t>
        <w:br/>
        <w:t>- Segmentación poblacional: diferentes estándares para trabajadores migrantes vs ciudadanos</w:t>
        <w:br/>
        <w:t>- Optimización recursos: tensión entre eficiencia y preparación para crisis</w:t>
      </w:r>
    </w:p>
    <w:p>
      <w:pPr>
        <w:pStyle w:val="Heading2"/>
      </w:pPr>
      <w:r>
        <w:rPr>
          <w:color w:val="1B4332"/>
        </w:rPr>
        <w:t>VII | Comparabilidad contextual con Rionegro</w:t>
      </w:r>
    </w:p>
    <w:p>
      <w:r>
        <w:rPr>
          <w:b/>
          <w:sz w:val="20"/>
        </w:rPr>
        <w:t xml:space="preserve">País: </w:t>
      </w:r>
      <w:r>
        <w:rPr>
          <w:sz w:val="20"/>
        </w:rPr>
        <w:t>Singapur</w:t>
      </w:r>
    </w:p>
    <w:p>
      <w:r>
        <w:rPr>
          <w:b/>
          <w:sz w:val="20"/>
        </w:rPr>
        <w:t xml:space="preserve">Nivel de gobierno: </w:t>
      </w:r>
      <w:r>
        <w:rPr>
          <w:sz w:val="20"/>
        </w:rPr>
        <w:t>Nacional</w:t>
      </w:r>
    </w:p>
    <w:p>
      <w:r>
        <w:rPr>
          <w:b/>
          <w:sz w:val="20"/>
        </w:rPr>
        <w:t xml:space="preserve">Tamaño del gobierno: </w:t>
      </w:r>
      <w:r>
        <w:rPr>
          <w:sz w:val="20"/>
        </w:rPr>
        <w:t>Grande (estado desarrollista)</w:t>
      </w:r>
    </w:p>
    <w:p>
      <w:r>
        <w:rPr>
          <w:b/>
          <w:sz w:val="20"/>
        </w:rPr>
        <w:t xml:space="preserve">Ingreso/Categoría fiscal: </w:t>
      </w:r>
      <w:r>
        <w:rPr>
          <w:sz w:val="20"/>
        </w:rPr>
        <w:t>Alto (ciudad-estado rica)</w:t>
      </w:r>
    </w:p>
    <w:p>
      <w:r>
        <w:rPr>
          <w:b/>
          <w:sz w:val="20"/>
        </w:rPr>
        <w:t xml:space="preserve">Tipo de régimen burocrático: </w:t>
      </w:r>
      <w:r>
        <w:rPr>
          <w:sz w:val="20"/>
        </w:rPr>
        <w:t>Weberiano fuerte con características desarrollistas asiáticas</w:t>
      </w:r>
    </w:p>
    <w:p>
      <w:r>
        <w:rPr>
          <w:b/>
          <w:sz w:val="20"/>
        </w:rPr>
        <w:t xml:space="preserve">Sector de política: </w:t>
      </w:r>
      <w:r>
        <w:rPr>
          <w:sz w:val="20"/>
        </w:rPr>
        <w:t>Salud pública/gestión de crisis</w:t>
      </w:r>
    </w:p>
    <w:p>
      <w:r>
        <w:rPr>
          <w:b/>
          <w:sz w:val="20"/>
        </w:rPr>
        <w:t xml:space="preserve">Comparabilidad con Rionegro: </w:t>
      </w:r>
      <w:r>
        <w:rPr>
          <w:sz w:val="20"/>
        </w:rPr>
        <w:t>Baja</w:t>
      </w:r>
    </w:p>
    <w:p>
      <w:r>
        <w:rPr>
          <w:b/>
          <w:sz w:val="20"/>
        </w:rPr>
        <w:t xml:space="preserve">Justificación: </w:t>
      </w:r>
      <w:r>
        <w:rPr>
          <w:sz w:val="20"/>
        </w:rPr>
        <w:t>Diferencias enormes en recursos, escala, capacidad fiscal y fortaleza burocrática, pero útil para contrastar efectos de capacity building</w:t>
      </w:r>
    </w:p>
    <w:p>
      <w:pPr>
        <w:pStyle w:val="Heading2"/>
      </w:pPr>
      <w:r>
        <w:rPr>
          <w:color w:val="1B4332"/>
        </w:rPr>
        <w:t>VIII | Conexión con las 4 preguntas empíricas</w:t>
      </w:r>
    </w:p>
    <w:p>
      <w:r>
        <w:rPr>
          <w:sz w:val="20"/>
        </w:rPr>
        <w:t>P1 — Anclaje duro → nivel organizacional: Infraestructura sanitaria y protocolos mejoraron coordinación ministerial significativamente</w:t>
      </w:r>
      <w:r>
        <w:rPr>
          <w:b/>
          <w:color w:val="2E7D32"/>
          <w:sz w:val="20"/>
        </w:rPr>
        <w:t xml:space="preserve">  →  Soporta</w:t>
      </w:r>
    </w:p>
    <w:p>
      <w:r>
        <w:rPr>
          <w:sz w:val="20"/>
        </w:rPr>
        <w:t>P2 — Intervenciones blandas → individual/político: Transferencia conocimiento post-SARS tuvo menor impacto que reformas estructurales</w:t>
      </w:r>
      <w:r>
        <w:rPr>
          <w:b/>
          <w:color w:val="C62828"/>
          <w:sz w:val="20"/>
        </w:rPr>
        <w:t xml:space="preserve">  →  Desafía</w:t>
      </w:r>
    </w:p>
    <w:p>
      <w:r>
        <w:rPr>
          <w:sz w:val="20"/>
        </w:rPr>
        <w:t>P3 — Inercia dimensional → restricciones estructurales: AI permaneció débil pese a capacidades OO/AO, creando blind spots</w:t>
      </w:r>
      <w:r>
        <w:rPr>
          <w:b/>
          <w:color w:val="2E7D32"/>
          <w:sz w:val="20"/>
        </w:rPr>
        <w:t xml:space="preserve">  →  Soporta</w:t>
      </w:r>
    </w:p>
    <w:p>
      <w:r>
        <w:rPr>
          <w:sz w:val="20"/>
        </w:rPr>
        <w:t>P4 — Apropiación superficial vs. real: Éxito parcial (ciudadanos vs migrantes) sugiere apropiación selectiva de capacidades</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is an emerging analytical framework that is becoming increasingly relevant in public policy scholarly work" (p.3)"</w:t>
      </w:r>
    </w:p>
    <w:p>
      <w:pPr>
        <w:ind w:left="567" w:right="567"/>
      </w:pPr>
      <w:r>
        <w:rPr>
          <w:i/>
          <w:color w:val="444444"/>
          <w:sz w:val="19"/>
        </w:rPr>
        <w:t>""Taking a policy capacity approach allows for a more systematic and policy-oriented approach" (p.4)"</w:t>
      </w:r>
    </w:p>
    <w:p>
      <w:pPr>
        <w:ind w:left="567" w:right="567"/>
      </w:pPr>
      <w:r>
        <w:rPr>
          <w:i/>
          <w:color w:val="444444"/>
          <w:sz w:val="19"/>
        </w:rPr>
        <w:t>""Focusing on policy capacity-building therefore allows policymakers to focus on what they can do" (p.4)"</w:t>
      </w:r>
    </w:p>
    <w:p>
      <w:pPr>
        <w:ind w:left="567" w:right="567"/>
      </w:pPr>
      <w:r>
        <w:rPr>
          <w:i/>
          <w:color w:val="444444"/>
          <w:sz w:val="19"/>
        </w:rPr>
        <w:t>""Excess capacities and resources during ordinary times...can be quickly mobilised during a pandemic" (p.4)"</w:t>
      </w:r>
    </w:p>
    <w:p>
      <w:pPr>
        <w:pStyle w:val="Heading3"/>
      </w:pPr>
      <w:r>
        <w:rPr>
          <w:color w:val="0D47A1"/>
        </w:rPr>
        <w:t>Para Metodología</w:t>
      </w:r>
    </w:p>
    <w:p>
      <w:pPr>
        <w:ind w:left="567" w:right="567"/>
      </w:pPr>
      <w:r>
        <w:rPr>
          <w:i/>
          <w:color w:val="444444"/>
          <w:sz w:val="19"/>
        </w:rPr>
        <w:t>""Taking a policy capacity approach can provide a clear, objective and systematic understanding" (p.3)"</w:t>
      </w:r>
    </w:p>
    <w:p>
      <w:pPr>
        <w:ind w:left="567" w:right="567"/>
      </w:pPr>
      <w:r>
        <w:rPr>
          <w:i/>
          <w:color w:val="444444"/>
          <w:sz w:val="19"/>
        </w:rPr>
        <w:t>""Policy capacity approach allows for the deeper understanding of how this dual-track outcome had arisen" (p.3)"</w:t>
      </w:r>
    </w:p>
    <w:p>
      <w:pPr>
        <w:pStyle w:val="Heading3"/>
      </w:pPr>
      <w:r>
        <w:rPr>
          <w:color w:val="BF360C"/>
        </w:rPr>
        <w:t>Para Discusión</w:t>
      </w:r>
    </w:p>
    <w:p>
      <w:pPr>
        <w:ind w:left="567" w:right="567"/>
      </w:pPr>
      <w:r>
        <w:rPr>
          <w:i/>
          <w:color w:val="444444"/>
          <w:sz w:val="19"/>
        </w:rPr>
        <w:t>""This dual-track outcome—low fatalities and low community transmission but high rates of infection" (p.3)"</w:t>
      </w:r>
    </w:p>
    <w:p>
      <w:pPr>
        <w:ind w:left="567" w:right="567"/>
      </w:pPr>
      <w:r>
        <w:rPr>
          <w:i/>
          <w:color w:val="444444"/>
          <w:sz w:val="19"/>
        </w:rPr>
        <w:t>""Limitations or deficiencies in analytical capacity...had led to the formation of analytical blind-spots" (p.3)"</w:t>
      </w:r>
    </w:p>
    <w:p>
      <w:pPr>
        <w:ind w:left="567" w:right="567"/>
      </w:pPr>
      <w:r>
        <w:rPr>
          <w:i/>
          <w:color w:val="444444"/>
          <w:sz w:val="19"/>
        </w:rPr>
        <w:t>""Such an endeavour can be costly and even ideologically problematic, especially with...NPM practices" (p.4)"</w:t>
      </w:r>
    </w:p>
    <w:p>
      <w:pPr>
        <w:ind w:left="567" w:right="567"/>
      </w:pPr>
      <w:r>
        <w:rPr>
          <w:i/>
          <w:color w:val="444444"/>
          <w:sz w:val="19"/>
        </w:rPr>
        <w:t>""Idle resources and organisational slack would be anathema to most practitioners...of NPM" (p.4)"</w:t>
      </w:r>
    </w:p>
    <w:p>
      <w:pPr>
        <w:pStyle w:val="Heading2"/>
      </w:pPr>
      <w:r>
        <w:rPr>
          <w:color w:val="1B4332"/>
        </w:rPr>
        <w:t>X | Vacíos estratégicos</w:t>
      </w:r>
    </w:p>
    <w:p>
      <w:r>
        <w:rPr>
          <w:sz w:val="20"/>
        </w:rPr>
        <w:t>1. No operacionaliza específicamente las 9 celdas del PCF framework</w:t>
        <w:br/>
        <w:t>2. Falta medición cuantitativa de capacidades pre y post intervención</w:t>
        <w:br/>
        <w:t>3. No aborda contextos de alta dependencia de contratistas</w:t>
        <w:br/>
        <w:t>4. Ausencia de instrumentos replicables para medir analytical blind spots</w:t>
        <w:br/>
        <w:t>5. No considera efectos diferenciados por estabilidad del personal</w:t>
        <w:br/>
        <w:t>6. Falta análisis de sostenibilidad de capacidades en el tiempo</w:t>
        <w:br/>
        <w:t>7. No desarrolla métricas para distinguir apropiación real vs superficial</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aporta significativamente al proyecto Rionegro en tres dimensiones clave del PCF framework: capacidad analítica organizacional (AO), operativa organizacional (OO) y analítica individual (AI). Su principal contribución radica en conceptualizar los "analytical blind spots" como déficits medibles de capacidad y en proponer la tensión entre lógicas NPM y necesidades de "exceso de capacidad" para crisis. Para Rionegro, ofrece un marco teórico sólido sobre cómo las capacidades organizacionales pueden ser pre-construidas y activadas durante crisis, aunque el caso singapurense difiere radicalmente en recursos y fortaleza burocrática. El concepto de "dual-track outcome" es especialmente relevante para entender cómo capacidades robustas en algunas dimensiones pueden coexistir con blind spots críticos en otras. Su enfoque en memory institucional y aprendizaje post-crisis proporciona elementos teóricos valiosos para justificar intervenciones longitudinales en gobiernos subnacionales débiles. La obra complementa efectivamente la literatura sobre capacity building al vincular crisis como catalizadores de desarrollo institucional.</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