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Khemani, S. (2019). What Is State Capacity? Policy Research Working Paper No. 8734. World Bank. https://doi.org/10.1596/1813-9450-8734</w:t>
      </w:r>
    </w:p>
    <w:p>
      <w:pPr>
        <w:jc w:val="center"/>
      </w:pPr>
      <w:r>
        <w:rPr>
          <w:b/>
          <w:color w:val="E65100"/>
          <w:sz w:val="22"/>
        </w:rPr>
        <w:t>● IMPORTANTE ● Puntaje matriz: 15/27</w:t>
      </w:r>
    </w:p>
    <w:p/>
    <w:p>
      <w:pPr>
        <w:pStyle w:val="Heading1"/>
      </w:pPr>
      <w:r>
        <w:rPr>
          <w:color w:val="1B4332"/>
        </w:rPr>
        <w:t>PARTE I — FICHA GENÉRICA DEL ARTÍCULO</w:t>
      </w:r>
    </w:p>
    <w:p>
      <w:pPr>
        <w:pStyle w:val="Heading2"/>
      </w:pPr>
      <w:r>
        <w:rPr>
          <w:color w:val="1B4332"/>
        </w:rPr>
        <w:t>1 | Referencia bibliográfica (APA 7)</w:t>
      </w:r>
    </w:p>
    <w:p>
      <w:r>
        <w:rPr>
          <w:sz w:val="20"/>
        </w:rPr>
        <w:t>Khemani, S. (2019). What Is State Capacity? Policy Research Working Paper No. 8734. World Bank. https://doi.org/10.1596/1813-9450-8734</w:t>
      </w:r>
    </w:p>
    <w:p>
      <w:pPr>
        <w:pStyle w:val="Heading2"/>
      </w:pPr>
      <w:r>
        <w:rPr>
          <w:color w:val="1B4332"/>
        </w:rPr>
        <w:t>2 | Objetivo explícito del autor</w:t>
      </w:r>
    </w:p>
    <w:p>
      <w:r>
        <w:rPr>
          <w:sz w:val="20"/>
        </w:rPr>
        <w:t>El estudio busca proporcionar un marco conceptual para entender los problemas de capacidad estatal que enfrentan los líderes reformistas al intentar que las agencias gubernamentales implementen políticas técnicamente sólidas. Específicamente, examina cómo los procesos políticos moldean los incentivos, creencias y expectativas de los funcionarios estatales para mejorar la entrega de bienes públicos.</w:t>
      </w:r>
    </w:p>
    <w:p>
      <w:pPr>
        <w:ind w:left="567" w:right="567"/>
      </w:pPr>
      <w:r>
        <w:rPr>
          <w:i/>
          <w:color w:val="444444"/>
          <w:sz w:val="19"/>
        </w:rPr>
        <w:t>""This paper provides a framework for thinking about the problem as a series of interdependent principal-agent relationships in complex organizations""</w:t>
      </w:r>
    </w:p>
    <w:p>
      <w:pPr>
        <w:pStyle w:val="Heading2"/>
      </w:pPr>
      <w:r>
        <w:rPr>
          <w:color w:val="1B4332"/>
        </w:rPr>
        <w:t>3 | Pregunta de investigación</w:t>
      </w:r>
    </w:p>
    <w:p>
      <w:pPr>
        <w:ind w:left="567" w:right="567"/>
      </w:pPr>
      <w:r>
        <w:rPr>
          <w:i/>
          <w:color w:val="444444"/>
          <w:sz w:val="19"/>
        </w:rPr>
        <w:t>"¿Cómo pueden los líderes reformistas fortalecer la capacidad estatal para la provisión de bienes públicos a través de la comprensión de las relaciones principal-agente y el rol de la política en la coordinación de comportamientos burocráticos?"</w:t>
      </w:r>
    </w:p>
    <w:p>
      <w:pPr>
        <w:pStyle w:val="Heading2"/>
      </w:pPr>
      <w:r>
        <w:rPr>
          <w:color w:val="1B4332"/>
        </w:rPr>
        <w:t>4 | Tesis central</w:t>
      </w:r>
    </w:p>
    <w:p>
      <w:r>
        <w:rPr>
          <w:sz w:val="20"/>
        </w:rPr>
        <w:t>La capacidad estatal reside fundamentalmente en la cultura de las burocracias, definida por los incentivos, creencias y expectativas compartidas entre el personal estatal sobre cómo otros están comportándose. Lo que distingue a las agencias estatales de otras organizaciones complejas es el rol fundamental de la política en la selección y sanción de líderes que ejercen poder sobre las burocracias. La política no solo moldea los incentivos del personal estatal, sino que coordina sus creencias y expectativas, determinando así el desempeño de las agencias gubernamentales.</w:t>
      </w:r>
    </w:p>
    <w:p>
      <w:pPr>
        <w:ind w:left="567" w:right="567"/>
      </w:pPr>
      <w:r>
        <w:rPr>
          <w:i/>
          <w:color w:val="444444"/>
          <w:sz w:val="19"/>
        </w:rPr>
        <w:t>""The crux of state capacity is the culture of bureaucracies -- the incentives, beliefs and expectations, or norms""</w:t>
      </w:r>
    </w:p>
    <w:p>
      <w:pPr>
        <w:pStyle w:val="Heading2"/>
      </w:pPr>
      <w:r>
        <w:rPr>
          <w:color w:val="1B4332"/>
        </w:rPr>
        <w:t>5 | Marco teórico utilizado</w:t>
      </w:r>
    </w:p>
    <w:p>
      <w:r>
        <w:rPr>
          <w:sz w:val="20"/>
        </w:rPr>
        <w:t>1. Teoría Principal-Agente: Análisis de relaciones interdependientes en organizaciones complejas donde los agentes actúan en nombre de principales</w:t>
        <w:br/>
        <w:t>2. Teoría de la Cultura Organizacional: Enfoque en normas, creencias y expectativas compartidas que coordinan comportamientos</w:t>
        <w:br/>
        <w:t>3. Teoría de la Economía Política: Análisis de cómo los procesos políticos de selección y sanción afectan el desempeño burocrático</w:t>
        <w:br/>
        <w:t>4. Teoría de Organizaciones Complejas: Marco para entender coordinación y desempeño en estructuras gubernamentales multinivel</w:t>
      </w:r>
    </w:p>
    <w:p>
      <w:pPr>
        <w:pStyle w:val="Heading2"/>
      </w:pPr>
      <w:r>
        <w:rPr>
          <w:color w:val="1B4332"/>
        </w:rPr>
        <w:t>7 | Conceptos clave</w:t>
      </w:r>
    </w:p>
    <w:p>
      <w:r>
        <w:rPr>
          <w:sz w:val="20"/>
        </w:rPr>
        <w:t>1. **Capacidad Estatal**: Habilidad de las agencias gubernamentales para implementar políticas y entregar bienes públicos (página no especificada)</w:t>
        <w:br/>
        <w:t>2. **Cultura Burocrática**: Incentivos, creencias y expectativas compartidas entre personal estatal sobre comportamientos esperados (página no especificada)</w:t>
        <w:br/>
        <w:t>3. **Relaciones Principal-Agente**: Vínculos interdependientes donde agentes toman acciones en nombre de principales en organizaciones complejas (página no especificada)</w:t>
        <w:br/>
        <w:t>4. **Coordinación de Creencias**: Proceso por el cual la política alinea expectativas y comportamientos del personal estatal (página no especificada)</w:t>
        <w:br/>
        <w:t>5. **Procesos Políticos**: Mecanismos de selección y sanción de líderes que ejercen poder sobre burocracias (página no especificada)</w:t>
        <w:br/>
        <w:t>6. **Normas Organizacionales**: Expectativas compartidas sobre comportamientos apropiados dentro de agencias estatales (página no especificada)</w:t>
      </w:r>
    </w:p>
    <w:p>
      <w:pPr>
        <w:pStyle w:val="Heading2"/>
      </w:pPr>
      <w:r>
        <w:rPr>
          <w:color w:val="1B4332"/>
        </w:rPr>
        <w:t>8 | Reconstrucción analítica del argumento</w:t>
      </w:r>
    </w:p>
    <w:p>
      <w:r>
        <w:rPr>
          <w:sz w:val="20"/>
        </w:rPr>
        <w:t>Khemani argumenta que la capacidad estatal no reside en recursos materiales o estructuras formales, sino en la cultura organizacional que coordina comportamientos. La hipótesis central es que los procesos políticos son determinantes porque seleccionan líderes y crean incentivos que moldean las creencias compartidas del personal estatal. El mecanismo causal opera a través de la coordinación de expectativas: cuando la política genera incentivos coherentes, el personal estatal desarrolla creencias alineadas sobre comportamientos esperados, mejorando el desempeño organizacional. Un hallazgo clave es que esta dinámica opera desde el nivel de aldea hasta el nacional, sugiriendo que la capacidad estatal es fundamentalmente un fenómeno de coordinación política más que técnico-administrativo.</w:t>
      </w:r>
    </w:p>
    <w:p>
      <w:pPr>
        <w:pStyle w:val="Heading2"/>
      </w:pPr>
      <w:r>
        <w:rPr>
          <w:color w:val="1B4332"/>
        </w:rPr>
        <w:t>10 | Aportes principales</w:t>
      </w:r>
    </w:p>
    <w:p>
      <w:r>
        <w:rPr>
          <w:sz w:val="20"/>
        </w:rPr>
        <w:t>1. **Marco Conceptual Integrador**: Conecta literatura de economía política, administración pública y teoría organizacional para explicar capacidad estatal</w:t>
        <w:br/>
        <w:t>2. **Énfasis en Cultura Organizacional**: Desplaza el foco desde recursos y estructuras hacia normas y creencias compartidas</w:t>
        <w:br/>
        <w:t>3. **Rol Central de la Política**: Establece los procesos políticos como determinantes fundamentales de la capacidad estatal</w:t>
        <w:br/>
        <w:t>4. **Perspectiva Multinivel**: Demuestra cómo la dinámica de capacidad opera consistentemente desde aldeas hasta gobierno nacional</w:t>
        <w:br/>
        <w:t>5. **Guía para Reformadores**: Ofrece insights prácticos sobre cómo fortalecer capacidad estatal a través del entendimiento de dinámicas políticas</w:t>
      </w:r>
    </w:p>
    <w:p>
      <w:pPr>
        <w:pStyle w:val="Heading2"/>
      </w:pPr>
      <w:r>
        <w:rPr>
          <w:color w:val="1B4332"/>
        </w:rPr>
        <w:t>11 | Limitaciones</w:t>
      </w:r>
    </w:p>
    <w:p>
      <w:r>
        <w:rPr>
          <w:sz w:val="20"/>
        </w:rPr>
        <w:t>1. **Falta de Evidencia Empírica**: El paper es principalmente conceptual sin validación empírica sistemática del marco propuesto</w:t>
        <w:br/>
        <w:t>2. **Generalización Excesiva**: Aplica el mismo marco a contextos muy diversos sin considerar variaciones contextuales específicas</w:t>
        <w:br/>
        <w:t>3. **Operacionalización Limitada**: No proporciona métricas claras para medir cultura burocrática o coordinación de creencias</w:t>
        <w:br/>
        <w:t>4. **Subestimación de Factores Materiales**: Puede minimizar la importancia de recursos, tecnología y capacidades técnicas</w:t>
      </w:r>
    </w:p>
    <w:p>
      <w:pPr>
        <w:pStyle w:val="Heading2"/>
      </w:pPr>
      <w:r>
        <w:rPr>
          <w:color w:val="1B4332"/>
        </w:rPr>
        <w:t>12 | Conexión con debates mayores</w:t>
      </w:r>
    </w:p>
    <w:p>
      <w:r>
        <w:rPr>
          <w:sz w:val="20"/>
        </w:rPr>
        <w:t>El trabajo se conecta centralmente con debates sobre state capacity y capacity building al proponer que la capacidad no es principalmente técnica sino política y cultural. Se relaciona con literatura de Nueva Gestión Pública al cuestionar enfoques centrados en incentivos individuales versus normas colectivas. Contribuye a debates sobre descentralización al mostrar cómo procesos políticos locales afectan capacidad de implementación. Se vincula con gobernanza multinivel al demostrar cómo coordinación política opera a través de diferentes niveles gubernamentales, y con literatura sobre reformas administrativas al enfatizar dimensiones políticas frecuentemente subestimadas.</w:t>
      </w:r>
    </w:p>
    <w:p>
      <w:pPr>
        <w:pStyle w:val="Heading2"/>
      </w:pPr>
      <w:r>
        <w:rPr>
          <w:color w:val="1B4332"/>
        </w:rPr>
        <w:t>13 | Observaciones críticas propias</w:t>
      </w:r>
    </w:p>
    <w:p>
      <w:r>
        <w:rPr>
          <w:sz w:val="20"/>
        </w:rPr>
        <w:t>El marco de Khemani presenta tensiones no resueltas entre determinismo político y agencia burocrática, sugiriendo que los funcionarios son principalmente productos de incentivos políticos sin explorar suficientemente su capacidad de resistencia o innovación. El paper asume que coordinación de creencias es siempre deseable sin considerar casos donde disenso burocrático puede ser beneficioso para la calidad de políticas. La propuesta subestima factores institucionales formales y materiales que pueden constreñir o habilitar capacidades independientemente de cultura organizacional. Se requiere mayor especificación de los mecanismos causales y condiciones bajo las cuales el marco aplica, así como extensiones hacia análisis de reformas específicas y contextos institucionales diversos.</w:t>
      </w:r>
    </w:p>
    <w:p>
      <w:pPr>
        <w:pStyle w:val="Heading2"/>
      </w:pPr>
      <w:r>
        <w:rPr>
          <w:color w:val="1B4332"/>
        </w:rPr>
        <w:t>6 | Tipo de investigación y metodología</w:t>
      </w:r>
    </w:p>
    <w:p>
      <w:r>
        <w:rPr>
          <w:b/>
          <w:sz w:val="20"/>
        </w:rPr>
        <w:t xml:space="preserve">Diseño: </w:t>
      </w:r>
      <w:r>
        <w:rPr>
          <w:sz w:val="20"/>
        </w:rPr>
        <w:t>Revisión teórica y síntesis conceptual</w:t>
      </w:r>
    </w:p>
    <w:p>
      <w:r>
        <w:rPr>
          <w:b/>
          <w:sz w:val="20"/>
        </w:rPr>
        <w:t xml:space="preserve">Universo: </w:t>
      </w:r>
      <w:r>
        <w:rPr>
          <w:sz w:val="20"/>
        </w:rPr>
        <w:t>Literatura académica sobre capacidad estatal y organizaciones públicas</w:t>
      </w:r>
    </w:p>
    <w:p>
      <w:r>
        <w:rPr>
          <w:b/>
          <w:sz w:val="20"/>
        </w:rPr>
        <w:t xml:space="preserve">Muestra: </w:t>
      </w:r>
      <w:r>
        <w:rPr>
          <w:sz w:val="20"/>
        </w:rPr>
        <w:t>Amplia literatura interdisciplinaria sobre relaciones principal-agente y desempeño burocrático</w:t>
      </w:r>
    </w:p>
    <w:p>
      <w:r>
        <w:rPr>
          <w:b/>
          <w:sz w:val="20"/>
        </w:rPr>
        <w:t xml:space="preserve">Instrumentos: </w:t>
      </w:r>
      <w:r>
        <w:rPr>
          <w:sz w:val="20"/>
        </w:rPr>
        <w:t>Análisis documental y síntesis teórica</w:t>
      </w:r>
    </w:p>
    <w:p>
      <w:r>
        <w:rPr>
          <w:b/>
          <w:sz w:val="20"/>
        </w:rPr>
        <w:t xml:space="preserve">Variable dependiente: </w:t>
      </w:r>
      <w:r>
        <w:rPr>
          <w:sz w:val="20"/>
        </w:rPr>
        <w:t>Capacidad estatal para provisión de bienes públicos</w:t>
      </w:r>
    </w:p>
    <w:p>
      <w:r>
        <w:rPr>
          <w:b/>
          <w:sz w:val="20"/>
        </w:rPr>
        <w:t xml:space="preserve">Variables independientes: </w:t>
      </w:r>
      <w:r>
        <w:rPr>
          <w:sz w:val="20"/>
        </w:rPr>
        <w:t>Cultura burocrática, procesos políticos, incentivos organizacionales</w:t>
      </w:r>
    </w:p>
    <w:p>
      <w:r>
        <w:rPr>
          <w:b/>
          <w:sz w:val="20"/>
        </w:rPr>
        <w:t xml:space="preserve">Análisis: </w:t>
      </w:r>
      <w:r>
        <w:rPr>
          <w:sz w:val="20"/>
        </w:rPr>
        <w:t>Síntesis conceptual y desarrollo de marco teórico</w:t>
      </w:r>
    </w:p>
    <w:p>
      <w:r>
        <w:rPr>
          <w:b/>
          <w:sz w:val="20"/>
        </w:rPr>
        <w:t xml:space="preserve">País/Nivel de gobierno: </w:t>
      </w:r>
      <w:r>
        <w:rPr>
          <w:sz w:val="20"/>
        </w:rPr>
        <w:t>Marco general aplicable a múltiples niveles (desde aldeas hasta nacional)</w:t>
      </w:r>
    </w:p>
    <w:p>
      <w:pPr>
        <w:pStyle w:val="Heading2"/>
      </w:pPr>
      <w:r>
        <w:rPr>
          <w:color w:val="1B4332"/>
        </w:rPr>
        <w:t>9 | Evidencia empírica / estadística</w:t>
      </w:r>
    </w:p>
    <w:p>
      <w:r>
        <w:rPr>
          <w:sz w:val="20"/>
        </w:rPr>
        <w:t>El paper presenta evidencia conceptual y teórica más que empírica cuantitativa. La evidencia se basa en la síntesis de literatura existente que demuestra la importancia de factores culturales y políticos en el desempeño organizacional. Se apoya en casos y estudios previos que muestran cómo los incentivos políticos afectan el comportamiento burocrático a diferentes niveles de gobierno. La evidencia cualitativa incluye ejemplos de cómo los procesos de selección y sanción política influyen en las normas organizacionales y, consecuentemente, en la entrega de servicios públicos.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Khemani desarrolla un marco influyente que redefine la capacidad estatal como un fenómeno fundamentalmente cultural y político, centrado en la coordinación de creencias y expectativas entre funcionarios públicos. Su argumento central es que los procesos políticos de selección y sanción de líderes moldean las normas organizacionales que determinan el desempeño gubernamental, más que los recursos materiales o las estructuras formales. Esta perspectiva ofrece insights valiosos para reformadores al enfatizar la importancia de entender y trabajar con dinámicas políticas existentes. El marco contribuye significativamente a la literatura de capacidad estatal al integrar enfoques de economía política y teoría organizacional, proporcionando una base conceptual sólida para futuras investigaciones. Sin embargo, la falta de validación empírica sistemática y la necesidad de mayor especificación de mecanismos causales representan áreas importantes para desarrollo posterior. La relevancia del trabajo radica en su potencial para informar estrategias de fortalecimiento institucional más efectivas y políticamente informadas.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FF9C4"/>
          </w:tcPr>
          <w:p>
            <w:r>
              <w:rPr>
                <w:b/>
                <w:color w:val="F57F17"/>
                <w:sz w:val="16"/>
              </w:rPr>
              <w:t xml:space="preserve">[1] </w:t>
            </w:r>
            <w:r>
              <w:rPr>
                <w:sz w:val="14"/>
              </w:rPr>
              <w:t>Menciona la necesidad de conocimiento técnico para políticas sólidas pero no desarrolla co</w:t>
            </w:r>
          </w:p>
        </w:tc>
        <w:tc>
          <w:tcPr>
            <w:tcW w:type="dxa" w:w="2351"/>
            <w:shd w:val="clear" w:color="auto" w:fill="FFF9C4"/>
          </w:tcPr>
          <w:p>
            <w:r>
              <w:rPr>
                <w:b/>
                <w:color w:val="F57F17"/>
                <w:sz w:val="16"/>
              </w:rPr>
              <w:t xml:space="preserve">[1] </w:t>
            </w:r>
            <w:r>
              <w:rPr>
                <w:sz w:val="14"/>
              </w:rPr>
              <w:t>Alude tangencialmente al liderazgo reformista pero no desarrolla competencias operativas i</w:t>
            </w:r>
          </w:p>
        </w:tc>
        <w:tc>
          <w:tcPr>
            <w:tcW w:type="dxa" w:w="2351"/>
            <w:shd w:val="clear" w:color="auto" w:fill="FFF9C4"/>
          </w:tcPr>
          <w:p>
            <w:r>
              <w:rPr>
                <w:b/>
                <w:color w:val="F57F17"/>
                <w:sz w:val="16"/>
              </w:rPr>
              <w:t xml:space="preserve">[1] </w:t>
            </w:r>
            <w:r>
              <w:rPr>
                <w:sz w:val="14"/>
              </w:rPr>
              <w:t>Menciona la importancia de la astucia política en líderes reformistas sin profundizar en c</w:t>
            </w:r>
          </w:p>
        </w:tc>
      </w:tr>
      <w:tr>
        <w:tc>
          <w:tcPr>
            <w:tcW w:type="dxa" w:w="2351"/>
            <w:shd w:val="clear" w:color="auto" w:fill="D8F3DC"/>
          </w:tcPr>
          <w:p>
            <w:r>
              <w:rPr>
                <w:b/>
                <w:sz w:val="16"/>
              </w:rPr>
              <w:t>ORGANIZACIONAL</w:t>
            </w:r>
          </w:p>
        </w:tc>
        <w:tc>
          <w:tcPr>
            <w:tcW w:type="dxa" w:w="2351"/>
            <w:shd w:val="clear" w:color="auto" w:fill="C8E6C9"/>
          </w:tcPr>
          <w:p>
            <w:r>
              <w:rPr>
                <w:b/>
                <w:color w:val="2E7D32"/>
                <w:sz w:val="16"/>
              </w:rPr>
              <w:t xml:space="preserve">[2] </w:t>
            </w:r>
            <w:r>
              <w:rPr>
                <w:sz w:val="14"/>
              </w:rPr>
              <w:t>Desarrolla el concepto de cultura organizacional y memoria institucional en burocracias co</w:t>
            </w:r>
          </w:p>
        </w:tc>
        <w:tc>
          <w:tcPr>
            <w:tcW w:type="dxa" w:w="2351"/>
            <w:shd w:val="clear" w:color="auto" w:fill="2E7D32"/>
          </w:tcPr>
          <w:p>
            <w:r>
              <w:rPr>
                <w:b/>
                <w:color w:val="FFFFFF"/>
                <w:sz w:val="16"/>
              </w:rPr>
              <w:t xml:space="preserve">[3] </w:t>
            </w:r>
            <w:r>
              <w:rPr>
                <w:sz w:val="14"/>
              </w:rPr>
              <w:t xml:space="preserve">Aporta marco conceptual directo sobre coordinación interna, incentivos organizacionales y </w:t>
            </w:r>
          </w:p>
        </w:tc>
        <w:tc>
          <w:tcPr>
            <w:tcW w:type="dxa" w:w="2351"/>
            <w:shd w:val="clear" w:color="auto" w:fill="C8E6C9"/>
          </w:tcPr>
          <w:p>
            <w:r>
              <w:rPr>
                <w:b/>
                <w:color w:val="2E7D32"/>
                <w:sz w:val="16"/>
              </w:rPr>
              <w:t xml:space="preserve">[2] </w:t>
            </w:r>
            <w:r>
              <w:rPr>
                <w:sz w:val="14"/>
              </w:rPr>
              <w:t>Conceptualiza la reputación organizacional y acceso a decisores como elementos de capacida</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menciona sistemas nacionales de estadísticas o infraestructura analítica sectorial</w:t>
            </w:r>
          </w:p>
        </w:tc>
        <w:tc>
          <w:tcPr>
            <w:tcW w:type="dxa" w:w="2351"/>
            <w:shd w:val="clear" w:color="auto" w:fill="C8E6C9"/>
          </w:tcPr>
          <w:p>
            <w:r>
              <w:rPr>
                <w:b/>
                <w:color w:val="2E7D32"/>
                <w:sz w:val="16"/>
              </w:rPr>
              <w:t xml:space="preserve">[2] </w:t>
            </w:r>
            <w:r>
              <w:rPr>
                <w:sz w:val="14"/>
              </w:rPr>
              <w:t>Desarrolla conceptualmente las relaciones intergubernamentales y marcos legales como deter</w:t>
            </w:r>
          </w:p>
        </w:tc>
        <w:tc>
          <w:tcPr>
            <w:tcW w:type="dxa" w:w="2351"/>
            <w:shd w:val="clear" w:color="auto" w:fill="2E7D32"/>
          </w:tcPr>
          <w:p>
            <w:r>
              <w:rPr>
                <w:b/>
                <w:color w:val="FFFFFF"/>
                <w:sz w:val="16"/>
              </w:rPr>
              <w:t xml:space="preserve">[3] </w:t>
            </w:r>
            <w:r>
              <w:rPr>
                <w:sz w:val="14"/>
              </w:rPr>
              <w:t>Aporta marco empírico directo sobre legitimidad, confianza pública y procesos de selección</w:t>
            </w:r>
          </w:p>
        </w:tc>
      </w:tr>
    </w:tbl>
    <w:p/>
    <w:p>
      <w:r>
        <w:rPr>
          <w:sz w:val="18"/>
        </w:rPr>
        <w:t>AI: 1 | Menciona la necesidad de conocimiento técnico para políticas sólidas pero no desarrolla competencias analíticas individuales</w:t>
        <w:br/>
        <w:t>AO: 2 | Desarrolla el concepto de cultura organizacional y memoria institucional en burocracias como infraestructura de conocimiento compartido</w:t>
        <w:br/>
        <w:t>AS: 0 | No menciona sistemas nacionales de estadísticas o infraestructura analítica sectorial</w:t>
        <w:br/>
        <w:t>OI: 1 | Alude tangencialmente al liderazgo reformista pero no desarrolla competencias operativas individuales</w:t>
        <w:br/>
        <w:t>OO: 3 | Aporta marco conceptual directo sobre coordinación interna, incentivos organizacionales y control burocrático en agencias estatales</w:t>
        <w:br/>
        <w:t>OS: 2 | Desarrolla conceptualmente las relaciones intergubernamentales y marcos legales como determinantes de capacidad operativa</w:t>
        <w:br/>
        <w:t>PI: 1 | Menciona la importancia de la astucia política en líderes reformistas sin profundizar en competencias individuales</w:t>
        <w:br/>
        <w:t>PO: 2 | Conceptualiza la reputación organizacional y acceso a decisores como elementos de capacidad política de las agencias</w:t>
        <w:br/>
        <w:t>PS: 3 | Aporta marco empírico directo sobre legitimidad, confianza pública y procesos de selección/sanción como fundamentos sistémicos</w:t>
        <w:br/>
        <w:t>CELDAS_PRINCIPALES: OO, PS, AO</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No aplica — artículo conceptual/diagnóstico</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Procesos políticos de selección/sanción → moldean incentivos burocráticos → afectan cultura organizacional (AO/OO) → sin moderadores explícitos</w:t>
              <w:br/>
              <w:br/>
              <w:t>Cultura burocrática compartida → coordina comportamientos → mejora provisión de bienes públicos (OS) → moderado por procesos políticos</w:t>
              <w:br/>
              <w:br/>
              <w:t>Liderazgo reformista → enfrenta resistencia cultural → limitada implementación técnica → moderado por incentivos organizacionales existentes</w:t>
            </w:r>
          </w:p>
        </w:tc>
      </w:tr>
    </w:tbl>
    <w:p/>
    <w:p>
      <w:pPr>
        <w:pStyle w:val="Heading2"/>
      </w:pPr>
      <w:r>
        <w:rPr>
          <w:color w:val="1B4332"/>
        </w:rPr>
        <w:t>VI | Condiciones estructurales (facilitadoras/inhibidoras)</w:t>
      </w:r>
    </w:p>
    <w:p>
      <w:r>
        <w:rPr>
          <w:sz w:val="20"/>
        </w:rPr>
        <w:t>FACILITADORES:</w:t>
        <w:br/>
        <w:t>- Cultura burocrática alineada: normas y expectativas compartidas que coordinan comportamientos hacia objetivos públicos</w:t>
        <w:br/>
        <w:t>- Procesos políticos de selección meritocráticos: sistemas que seleccionan líderes comprometidos con bienes públicos</w:t>
        <w:br/>
        <w:br/>
        <w:t>INHIBIDORES:</w:t>
        <w:br/>
        <w:t>- Desalineación principal-agente: múltiples niveles de delegación crean oportunidades para perseguir objetivos privados</w:t>
        <w:br/>
        <w:t>- Procesos políticos disfuncionales: selección y sanción basada en criterios no meritocráticos</w:t>
        <w:br/>
        <w:t>- Culturas organizacionales fragmentadas: falta de normas compartidas genera comportamientos no coordinados</w:t>
      </w:r>
    </w:p>
    <w:p>
      <w:pPr>
        <w:pStyle w:val="Heading2"/>
      </w:pPr>
      <w:r>
        <w:rPr>
          <w:color w:val="1B4332"/>
        </w:rPr>
        <w:t>VII | Comparabilidad contextual con Rionegro</w:t>
      </w:r>
    </w:p>
    <w:p>
      <w:r>
        <w:rPr>
          <w:b/>
          <w:sz w:val="20"/>
        </w:rPr>
        <w:t xml:space="preserve">País: </w:t>
      </w:r>
      <w:r>
        <w:rPr>
          <w:sz w:val="20"/>
        </w:rPr>
        <w:t>Marco teórico general (no específico de país)</w:t>
      </w:r>
    </w:p>
    <w:p>
      <w:r>
        <w:rPr>
          <w:b/>
          <w:sz w:val="20"/>
        </w:rPr>
        <w:t xml:space="preserve">Nivel de gobierno: </w:t>
      </w:r>
      <w:r>
        <w:rPr>
          <w:sz w:val="20"/>
        </w:rPr>
        <w:t>Transversal (todos los niveles)</w:t>
      </w:r>
    </w:p>
    <w:p>
      <w:r>
        <w:rPr>
          <w:b/>
          <w:sz w:val="20"/>
        </w:rPr>
        <w:t xml:space="preserve">Tamaño del gobierno: </w:t>
      </w:r>
      <w:r>
        <w:rPr>
          <w:sz w:val="20"/>
        </w:rPr>
        <w:t>No especificado</w:t>
      </w:r>
    </w:p>
    <w:p>
      <w:r>
        <w:rPr>
          <w:b/>
          <w:sz w:val="20"/>
        </w:rPr>
        <w:t xml:space="preserve">Ingreso/Categoría fiscal: </w:t>
      </w:r>
      <w:r>
        <w:rPr>
          <w:sz w:val="20"/>
        </w:rPr>
        <w:t>No especificado</w:t>
      </w:r>
    </w:p>
    <w:p>
      <w:r>
        <w:rPr>
          <w:b/>
          <w:sz w:val="20"/>
        </w:rPr>
        <w:t xml:space="preserve">Tipo de régimen burocrático: </w:t>
      </w:r>
      <w:r>
        <w:rPr>
          <w:sz w:val="20"/>
        </w:rPr>
        <w:t>Enfoque en estados con baja capacidad weberiana</w:t>
      </w:r>
    </w:p>
    <w:p>
      <w:r>
        <w:rPr>
          <w:b/>
          <w:sz w:val="20"/>
        </w:rPr>
        <w:t xml:space="preserve">Sector de política: </w:t>
      </w:r>
      <w:r>
        <w:rPr>
          <w:sz w:val="20"/>
        </w:rPr>
        <w:t>Transversal</w:t>
      </w:r>
    </w:p>
    <w:p>
      <w:r>
        <w:rPr>
          <w:b/>
          <w:sz w:val="20"/>
        </w:rPr>
        <w:t xml:space="preserve">Comparabilidad con Rionegro: </w:t>
      </w:r>
      <w:r>
        <w:rPr>
          <w:sz w:val="20"/>
        </w:rPr>
        <w:t>Alta</w:t>
      </w:r>
    </w:p>
    <w:p>
      <w:r>
        <w:rPr>
          <w:b/>
          <w:sz w:val="20"/>
        </w:rPr>
        <w:t xml:space="preserve">Justificación: </w:t>
      </w:r>
      <w:r>
        <w:rPr>
          <w:sz w:val="20"/>
        </w:rPr>
        <w:t>Marco conceptual aplicable a contextos de baja institucionalización y dependencia de contratistas como Rionegro</w:t>
      </w:r>
    </w:p>
    <w:p>
      <w:pPr>
        <w:pStyle w:val="Heading2"/>
      </w:pPr>
      <w:r>
        <w:rPr>
          <w:color w:val="1B4332"/>
        </w:rPr>
        <w:t>VIII | Conexión con las 4 preguntas empíricas</w:t>
      </w:r>
    </w:p>
    <w:p>
      <w:r>
        <w:rPr>
          <w:sz w:val="20"/>
        </w:rPr>
        <w:t>P1 — Anclaje duro → nivel organizacional: Marco sugiere que cambios en incentivos organizacionales afectan cultura burocrática</w:t>
      </w:r>
      <w:r>
        <w:rPr>
          <w:b/>
          <w:color w:val="2E7D32"/>
          <w:sz w:val="20"/>
        </w:rPr>
        <w:t xml:space="preserve">  →  Soporta</w:t>
      </w:r>
    </w:p>
    <w:p>
      <w:r>
        <w:rPr>
          <w:sz w:val="20"/>
        </w:rPr>
        <w:t>P2 — Intervenciones blandas → individual/político: Enfatiza importancia de normas y creencias compartidas sobre estructuras formales</w:t>
      </w:r>
      <w:r>
        <w:rPr>
          <w:b/>
          <w:color w:val="1565C0"/>
          <w:sz w:val="20"/>
        </w:rPr>
        <w:t xml:space="preserve">  →  Extiende</w:t>
      </w:r>
    </w:p>
    <w:p>
      <w:r>
        <w:rPr>
          <w:sz w:val="20"/>
        </w:rPr>
        <w:t>P3 — Inercia dimensional → restricciones estructurales: Identifica procesos políticos como restricciones fundamentales que trascienden intervenciones técnicas</w:t>
      </w:r>
      <w:r>
        <w:rPr>
          <w:b/>
          <w:color w:val="2E7D32"/>
          <w:sz w:val="20"/>
        </w:rPr>
        <w:t xml:space="preserve">  →  Soporta</w:t>
      </w:r>
    </w:p>
    <w:p>
      <w:r>
        <w:rPr>
          <w:sz w:val="20"/>
        </w:rPr>
        <w:t>P4 — Apropiación superficial vs. real: Distingue entre cambios superficiales en estructuras y transformación real de cultura organizacional</w:t>
      </w:r>
      <w:r>
        <w:rPr>
          <w:b/>
          <w:color w:val="2E7D32"/>
          <w:sz w:val="20"/>
        </w:rPr>
        <w:t xml:space="preserve">  →  Soporta</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""La capacidad estatal reside fundamentalmente en la cultura de las burocracias: incentivos, creencias y expectativas compartidas""</w:t>
      </w:r>
    </w:p>
    <w:p>
      <w:pPr>
        <w:ind w:left="567" w:right="567"/>
      </w:pPr>
      <w:r>
        <w:rPr>
          <w:i/>
          <w:color w:val="444444"/>
          <w:sz w:val="19"/>
        </w:rPr>
        <w:t>""Los procesos políticos moldean no solo incentivos del personal estatal sino coordinan sus creencias y expectativas""</w:t>
      </w:r>
    </w:p>
    <w:p>
      <w:pPr>
        <w:ind w:left="567" w:right="567"/>
      </w:pPr>
      <w:r>
        <w:rPr>
          <w:i/>
          <w:color w:val="444444"/>
          <w:sz w:val="19"/>
        </w:rPr>
        <w:t>""Lo que distingue agencias estatales es el rol fundamental de la política en selección y sanción""</w:t>
      </w:r>
    </w:p>
    <w:p>
      <w:pPr>
        <w:pStyle w:val="Heading3"/>
      </w:pPr>
      <w:r>
        <w:rPr>
          <w:color w:val="0D47A1"/>
        </w:rPr>
        <w:t>Para Metodología</w:t>
      </w:r>
    </w:p>
    <w:p>
      <w:pPr>
        <w:ind w:left="567" w:right="567"/>
      </w:pPr>
      <w:r>
        <w:rPr>
          <w:i/>
          <w:color w:val="444444"/>
          <w:sz w:val="19"/>
        </w:rPr>
        <w:t>""Marco para pensar el problema como serie de relaciones principal-agente interdependientes en organizaciones complejas""</w:t>
      </w:r>
    </w:p>
    <w:p>
      <w:pPr>
        <w:ind w:left="567" w:right="567"/>
      </w:pPr>
      <w:r>
        <w:rPr>
          <w:i/>
          <w:color w:val="444444"/>
          <w:sz w:val="19"/>
        </w:rPr>
        <w:t>""Cultura organizacional como incentivos, creencias y expectativas compartidas que coordinan comportamientos""</w:t>
      </w:r>
    </w:p>
    <w:p>
      <w:pPr>
        <w:pStyle w:val="Heading3"/>
      </w:pPr>
      <w:r>
        <w:rPr>
          <w:color w:val="BF360C"/>
        </w:rPr>
        <w:t>Para Discusión</w:t>
      </w:r>
    </w:p>
    <w:p>
      <w:pPr>
        <w:ind w:left="567" w:right="567"/>
      </w:pPr>
      <w:r>
        <w:rPr>
          <w:i/>
          <w:color w:val="444444"/>
          <w:sz w:val="19"/>
        </w:rPr>
        <w:t>""Reforma de capacidad estatal requiere entender cómo procesos políticos moldean cultura burocrática""</w:t>
      </w:r>
    </w:p>
    <w:p>
      <w:pPr>
        <w:ind w:left="567" w:right="567"/>
      </w:pPr>
      <w:r>
        <w:rPr>
          <w:i/>
          <w:color w:val="444444"/>
          <w:sz w:val="19"/>
        </w:rPr>
        <w:t>""Cultura burocrática distingue agencias de alto y bajo desempeño más que recursos formales""</w:t>
      </w:r>
    </w:p>
    <w:p>
      <w:pPr>
        <w:ind w:left="567" w:right="567"/>
      </w:pPr>
      <w:r>
        <w:rPr>
          <w:i/>
          <w:color w:val="444444"/>
          <w:sz w:val="19"/>
        </w:rPr>
        <w:t>""Cambios superficiales en estructuras no garantizan transformación de capacidades reales""</w:t>
      </w:r>
    </w:p>
    <w:p>
      <w:pPr>
        <w:pStyle w:val="Heading2"/>
      </w:pPr>
      <w:r>
        <w:rPr>
          <w:color w:val="1B4332"/>
        </w:rPr>
        <w:t>X | Vacíos estratégicos</w:t>
      </w:r>
    </w:p>
    <w:p>
      <w:r>
        <w:rPr>
          <w:sz w:val="20"/>
        </w:rPr>
        <w:t>1. No operacionaliza el concepto de cultura burocrática en indicadores medibles</w:t>
        <w:br/>
        <w:t>2. No propone intervenciones concretas para transformar culturas organizacionales</w:t>
        <w:br/>
        <w:t>3. No especifica mecanismos de medición de la alineación principal-agente</w:t>
        <w:br/>
        <w:t>4. No aborda contextos de alta dependencia de contratistas específicamente</w:t>
        <w:br/>
        <w:t>5. No diferencia estrategias por tipo de capacidad (analítica, operativa, política)</w:t>
        <w:br/>
        <w:t>6. No considera el papel de la estabilidad del personal en la construcción de cultura</w:t>
      </w:r>
    </w:p>
    <w:p>
      <w:pPr>
        <w:pStyle w:val="Heading2"/>
      </w:pPr>
      <w:r>
        <w:rPr>
          <w:color w:val="1B4332"/>
        </w:rPr>
        <w:t>XI | Evaluación final estratégica</w:t>
      </w:r>
    </w:p>
    <w:p>
      <w:r>
        <w:rPr>
          <w:b/>
          <w:color w:val="E65100"/>
          <w:sz w:val="22"/>
        </w:rPr>
        <w:t>● CLASIFICACIÓN: IMPORTANTE</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aporta un marco conceptual fundamental para entender la capacidad estatal desde una perspectiva de cultura organizacional, contribuyendo significativamente a las celdas AO, OO y PS de la matriz. Su énfasis en los procesos políticos como determinantes de la cultura burocrática es especialmente relevante para el contexto de Rionegro, donde la alta dependencia de contratistas puede generar culturas organizacionales fragmentadas. El marco principal-agente propuesto proporciona herramientas conceptuales para entender cómo las intervenciones de capacity building deben abordar no solo competencias técnicas sino la transformación de normas y expectativas compartidas. Sin embargo, su naturaleza teórica limita su contribución directa a la operacionalización de mediciones específicas. Para el proyecto de Rionegro, este artículo fundamenta la necesidad de evaluar no solo cambios en competencias individuales sino transformaciones en la cultura organizacional como indicador de sostenibilidad de las intervenciones.</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