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Painter, M., &amp; Pierre, J. (Eds.). (2005). Challenges to state policy capacity: Global trends and comparative perspectives. Palgrave Macmillan.</w:t>
      </w:r>
    </w:p>
    <w:p>
      <w:pPr>
        <w:jc w:val="center"/>
      </w:pPr>
      <w:r>
        <w:rPr>
          <w:b/>
          <w:color w:val="1B5E20"/>
          <w:sz w:val="22"/>
        </w:rPr>
        <w:t>● FUNDAMENTAL ● Puntaje matriz: 19/27</w:t>
      </w:r>
    </w:p>
    <w:p/>
    <w:p>
      <w:pPr>
        <w:pStyle w:val="Heading1"/>
      </w:pPr>
      <w:r>
        <w:rPr>
          <w:color w:val="1B4332"/>
        </w:rPr>
        <w:t>PARTE I — FICHA GENÉRICA DEL ARTÍCULO</w:t>
      </w:r>
    </w:p>
    <w:p>
      <w:pPr>
        <w:pStyle w:val="Heading2"/>
      </w:pPr>
      <w:r>
        <w:rPr>
          <w:color w:val="1B4332"/>
        </w:rPr>
        <w:t>1 | Referencia bibliográfica (APA 7)</w:t>
      </w:r>
    </w:p>
    <w:p>
      <w:r>
        <w:rPr>
          <w:sz w:val="20"/>
        </w:rPr>
        <w:t>Painter, M., &amp; Pierre, J. (Eds.). (2005). Challenges to state policy capacity: Global trends and comparative perspectives. Palgrave Macmillan.</w:t>
      </w:r>
    </w:p>
    <w:p>
      <w:pPr>
        <w:pStyle w:val="Heading2"/>
      </w:pPr>
      <w:r>
        <w:rPr>
          <w:color w:val="1B4332"/>
        </w:rPr>
        <w:t>2 | Objetivo explícito del autor</w:t>
      </w:r>
    </w:p>
    <w:p>
      <w:r>
        <w:rPr>
          <w:sz w:val="20"/>
        </w:rPr>
        <w:t>Analizar conceptualmente la capacidad de políticas del Estado moderno y explorar los desafíos contemporáneos que enfrentan los sistemas de gobierno en un contexto de globalización y nuevas formas de gobernanza. Examinar cómo las reformas administrativas y los cambios institucionales han transformado la naturaleza de la capacidad estatal.</w:t>
      </w:r>
    </w:p>
    <w:p>
      <w:pPr>
        <w:ind w:left="567" w:right="567"/>
      </w:pPr>
      <w:r>
        <w:rPr>
          <w:i/>
          <w:color w:val="444444"/>
          <w:sz w:val="19"/>
        </w:rPr>
        <w:t>""to undertake a conceptual analysis of policy capacity that will frame all of the separate authors' contributions" (p. 1)"</w:t>
      </w:r>
    </w:p>
    <w:p>
      <w:pPr>
        <w:pStyle w:val="Heading2"/>
      </w:pPr>
      <w:r>
        <w:rPr>
          <w:color w:val="1B4332"/>
        </w:rPr>
        <w:t>3 | Pregunta de investigación</w:t>
      </w:r>
    </w:p>
    <w:p>
      <w:pPr>
        <w:ind w:left="567" w:right="567"/>
      </w:pPr>
      <w:r>
        <w:rPr>
          <w:i/>
          <w:color w:val="444444"/>
          <w:sz w:val="19"/>
        </w:rPr>
        <w:t>"¿Cómo han transformado la globalización, las reformas del sector público y los nuevos arreglos de gobernanza la capacidad de políticas del Estado moderno, y cuáles son las implicaciones para la efectividad gubernamental?"</w:t>
      </w:r>
    </w:p>
    <w:p>
      <w:pPr>
        <w:pStyle w:val="Heading2"/>
      </w:pPr>
      <w:r>
        <w:rPr>
          <w:color w:val="1B4332"/>
        </w:rPr>
        <w:t>4 | Tesis central</w:t>
      </w:r>
    </w:p>
    <w:p>
      <w:r>
        <w:rPr>
          <w:sz w:val="20"/>
        </w:rPr>
        <w:t>La capacidad de políticas del Estado moderno enfrenta tensiones contradictorias entre la reducción del rol estatal y la necesidad de mayor intervención gubernamental. Las reformas administrativas han desplazado capacidades hacia agencias, ONGs y sistemas transnacionales, pero eventos recientes han reafirmado la importancia del Estado. La capacidad de políticas contemporánea requiere repensar su naturaleza y condiciones en contextos de Estados "delgados" y arreglos de gobernanza complejos.</w:t>
      </w:r>
    </w:p>
    <w:p>
      <w:pPr>
        <w:ind w:left="567" w:right="567"/>
      </w:pPr>
      <w:r>
        <w:rPr>
          <w:i/>
          <w:color w:val="444444"/>
          <w:sz w:val="19"/>
        </w:rPr>
        <w:t>""policy capacity of the modern, lean – some would say hollow – state is not the same" (p. 1)"</w:t>
      </w:r>
    </w:p>
    <w:p>
      <w:pPr>
        <w:pStyle w:val="Heading2"/>
      </w:pPr>
      <w:r>
        <w:rPr>
          <w:color w:val="1B4332"/>
        </w:rPr>
        <w:t>5 | Marco teórico utilizado</w:t>
      </w:r>
    </w:p>
    <w:p>
      <w:r>
        <w:rPr>
          <w:sz w:val="20"/>
        </w:rPr>
        <w:t>1. Análisis institucional - Enfoque en arreglos institucionales y recursos estructurales para la capacidad de gobierno</w:t>
        <w:br/>
        <w:t>2. Nueva gobernanza - Marco para entender transformaciones en formas de gobernar más allá del Estado</w:t>
        <w:br/>
        <w:t>3. Teoría del Estado regulatorio - Conceptualización del Estado contemporáneo como facilitador más que proveedor directo</w:t>
        <w:br/>
        <w:t>4. Capacidad estatal - Diferenciación entre capacidades administrativa, de políticas y estatal</w:t>
        <w:br/>
        <w:t>5. Globalización y deslocalización - Impacto de procesos transnacionales en capacidades nacionales</w:t>
      </w:r>
    </w:p>
    <w:p>
      <w:pPr>
        <w:pStyle w:val="Heading2"/>
      </w:pPr>
      <w:r>
        <w:rPr>
          <w:color w:val="1B4332"/>
        </w:rPr>
        <w:t>7 | Conceptos clave</w:t>
      </w:r>
    </w:p>
    <w:p>
      <w:r>
        <w:rPr>
          <w:sz w:val="20"/>
        </w:rPr>
        <w:t>1. **Capacidad de políticas** (p. 1): "ability to marshal the necessary resources to make intelligent collective choices about and set strategic directions for the allocation of scarce resources to public ends"</w:t>
        <w:br/>
        <w:t>2. **Capacidad administrativa** (p. 1): "ability to manage efficiently the human and physical resources required for delivering the outputs of government"</w:t>
        <w:br/>
        <w:t>3. **Capacidad estatal** (p. 1): "measure of the state's ability to mobilize social and economic support and consent for the achievement of public-regarding goals"</w:t>
        <w:br/>
        <w:t>4. **Elección inteligente**: Criterio central para evaluar capacidad de políticas basado en decisiones informadas y estratégicas</w:t>
        <w:br/>
        <w:t>5. **Sistemas de soporte**: Arreglos institucionales que maximizan el logro de valores de buen gobierno</w:t>
        <w:br/>
        <w:t>6. **Stocks de capacidad**: Características estructurales y recursos disponibles en sistemas de gobierno que pueden ser movilizados</w:t>
      </w:r>
    </w:p>
    <w:p>
      <w:pPr>
        <w:pStyle w:val="Heading2"/>
      </w:pPr>
      <w:r>
        <w:rPr>
          <w:color w:val="1B4332"/>
        </w:rPr>
        <w:t>8 | Reconstrucción analítica del argumento</w:t>
      </w:r>
    </w:p>
    <w:p>
      <w:r>
        <w:rPr>
          <w:sz w:val="20"/>
        </w:rPr>
        <w:t>Los autores argumentan que existe una paradoja en la capacidad estatal contemporánea: mientras las reformas han reducido capacidades tradicionales, eventos recientes demuestran la necesidad de Estados más fuertes. La evidencia sugiere que los mercados no han demostrado superioridad sobre el Estado en desarrollo económico, y las crisis financieras han reafirmado la importancia de la regulación estatal. El mecanismo causal opera a través de la transformación de recursos institucionales y arreglos de gobernanza que requieren nuevas formas de conceptualizar y medir la capacidad.</w:t>
      </w:r>
    </w:p>
    <w:p>
      <w:pPr>
        <w:pStyle w:val="Heading2"/>
      </w:pPr>
      <w:r>
        <w:rPr>
          <w:color w:val="1B4332"/>
        </w:rPr>
        <w:t>10 | Aportes principales</w:t>
      </w:r>
    </w:p>
    <w:p>
      <w:r>
        <w:rPr>
          <w:sz w:val="20"/>
        </w:rPr>
        <w:t>1. Distinción analítica clara entre tres tipos de capacidad gubernamental (administrativa, políticas, estatal)</w:t>
        <w:br/>
        <w:t>2. Marco conceptual del "triángulo de capacidades" para entender interdependencias</w:t>
        <w:br/>
        <w:t>3. Identificación de tensiones entre reducción estatal y necesidad de mayor capacidad</w:t>
        <w:br/>
        <w:t>4. Desarrollo de indicadores procedimentales para evaluación de capacidad</w:t>
        <w:br/>
        <w:t>5. Reconceptualización de capacidad de políticas para Estados "delgados" contemporáneos</w:t>
      </w:r>
    </w:p>
    <w:p>
      <w:pPr>
        <w:pStyle w:val="Heading2"/>
      </w:pPr>
      <w:r>
        <w:rPr>
          <w:color w:val="1B4332"/>
        </w:rPr>
        <w:t>11 | Limitaciones</w:t>
      </w:r>
    </w:p>
    <w:p>
      <w:r>
        <w:rPr>
          <w:sz w:val="20"/>
        </w:rPr>
        <w:t>1. Reconocimiento de sesgos sociales y políticos en percepciones de éxito/fracaso de políticas</w:t>
        <w:br/>
        <w:t>2. Peligros de análisis retrospectivo y sesgo de selección en estudios de caso</w:t>
        <w:br/>
        <w:t>3. Naturaleza contestada de criterios evaluativos para capacidad</w:t>
        <w:br/>
        <w:t>4. Tensiones internas entre diferentes valores procedimentales (resolución vs. decisión)</w:t>
      </w:r>
    </w:p>
    <w:p>
      <w:pPr>
        <w:pStyle w:val="Heading2"/>
      </w:pPr>
      <w:r>
        <w:rPr>
          <w:color w:val="1B4332"/>
        </w:rPr>
        <w:t>12 | Conexión con debates mayores</w:t>
      </w:r>
    </w:p>
    <w:p>
      <w:r>
        <w:rPr>
          <w:sz w:val="20"/>
        </w:rPr>
        <w:t>Se conecta con debates sobre nueva gestión pública (NPM) y sus efectos en capacidad estatal, descentralización y fragmentación gubernamental, gobernanza multinivel en contextos como la Unión Europea, y el rol del Estado en la era de la globalización. Contribuye al debate sobre state capacity building y la efectividad de reformas del sector público.</w:t>
      </w:r>
    </w:p>
    <w:p>
      <w:pPr>
        <w:pStyle w:val="Heading2"/>
      </w:pPr>
      <w:r>
        <w:rPr>
          <w:color w:val="1B4332"/>
        </w:rPr>
        <w:t>13 | Observaciones críticas propias</w:t>
      </w:r>
    </w:p>
    <w:p>
      <w:r>
        <w:rPr>
          <w:sz w:val="20"/>
        </w:rPr>
        <w:t>El marco conceptual, aunque útil, podría beneficiarse de mayor especificación de mecanismos causales entre diferentes tipos de capacidad. Los autores no problematizan suficientemente los supuestos normativos sobre "buen gobierno" que subyacen a sus criterios evaluativos. La tensión entre valores procedimentales sugiere necesidad de mayor desarrollo teórico sobre trade-offs en diseño institucional.</w:t>
      </w:r>
    </w:p>
    <w:p>
      <w:pPr>
        <w:pStyle w:val="Heading2"/>
      </w:pPr>
      <w:r>
        <w:rPr>
          <w:color w:val="1B4332"/>
        </w:rPr>
        <w:t>6 | Tipo de investigación y metodología</w:t>
      </w:r>
    </w:p>
    <w:p>
      <w:r>
        <w:rPr>
          <w:b/>
          <w:sz w:val="20"/>
        </w:rPr>
        <w:t xml:space="preserve">Diseño: </w:t>
      </w:r>
      <w:r>
        <w:rPr>
          <w:sz w:val="20"/>
        </w:rPr>
        <w:t>Análisis conceptual comparativo con estudios de caso múltiples</w:t>
      </w:r>
    </w:p>
    <w:p>
      <w:r>
        <w:rPr>
          <w:b/>
          <w:sz w:val="20"/>
        </w:rPr>
        <w:t xml:space="preserve">Universo: </w:t>
      </w:r>
      <w:r>
        <w:rPr>
          <w:sz w:val="20"/>
        </w:rPr>
        <w:t>Estados modernos en contextos de reforma y globalización</w:t>
      </w:r>
    </w:p>
    <w:p>
      <w:r>
        <w:rPr>
          <w:b/>
          <w:sz w:val="20"/>
        </w:rPr>
        <w:t xml:space="preserve">Muestra: </w:t>
      </w:r>
      <w:r>
        <w:rPr>
          <w:sz w:val="20"/>
        </w:rPr>
        <w:t>Casos selectos de países occidentales y asiáticos</w:t>
      </w:r>
    </w:p>
    <w:p>
      <w:r>
        <w:rPr>
          <w:b/>
          <w:sz w:val="20"/>
        </w:rPr>
        <w:t xml:space="preserve">Instrumentos: </w:t>
      </w:r>
      <w:r>
        <w:rPr>
          <w:sz w:val="20"/>
        </w:rPr>
        <w:t>Análisis documental y revisión teórica</w:t>
      </w:r>
    </w:p>
    <w:p>
      <w:r>
        <w:rPr>
          <w:b/>
          <w:sz w:val="20"/>
        </w:rPr>
        <w:t xml:space="preserve">Variable dependiente: </w:t>
      </w:r>
      <w:r>
        <w:rPr>
          <w:sz w:val="20"/>
        </w:rPr>
        <w:t>Capacidad de políticas públicas (stocks de recursos institucionales)</w:t>
      </w:r>
    </w:p>
    <w:p>
      <w:r>
        <w:rPr>
          <w:b/>
          <w:sz w:val="20"/>
        </w:rPr>
        <w:t xml:space="preserve">Variables independientes: </w:t>
      </w:r>
      <w:r>
        <w:rPr>
          <w:sz w:val="20"/>
        </w:rPr>
        <w:t>Reformas administrativas, globalización, arreglos de gobernanza</w:t>
      </w:r>
    </w:p>
    <w:p>
      <w:r>
        <w:rPr>
          <w:b/>
          <w:sz w:val="20"/>
        </w:rPr>
        <w:t xml:space="preserve">Análisis: </w:t>
      </w:r>
      <w:r>
        <w:rPr>
          <w:sz w:val="20"/>
        </w:rPr>
        <w:t>Comparativo cualitativo e institucional</w:t>
      </w:r>
    </w:p>
    <w:p>
      <w:r>
        <w:rPr>
          <w:b/>
          <w:sz w:val="20"/>
        </w:rPr>
        <w:t xml:space="preserve">País/Nivel de gobierno: </w:t>
      </w:r>
      <w:r>
        <w:rPr>
          <w:sz w:val="20"/>
        </w:rPr>
        <w:t>Múltiples países, enfoque en nivel nacional con consideraciones subnacionales</w:t>
      </w:r>
    </w:p>
    <w:p>
      <w:pPr>
        <w:pStyle w:val="Heading2"/>
      </w:pPr>
      <w:r>
        <w:rPr>
          <w:color w:val="1B4332"/>
        </w:rPr>
        <w:t>9 | Evidencia empírica / estadística</w:t>
      </w:r>
    </w:p>
    <w:p>
      <w:r>
        <w:rPr>
          <w:sz w:val="20"/>
        </w:rPr>
        <w:t>Evidencia conceptual basada en análisis de tendencias globales en reformas del sector público, crisis financiera asiática como caso empírico de límites del modelo de mercado, y ejemplos de "rollback" estatal en países occidentales. Los autores presentan un marco triangular de capacidades interdependientes y desarrollan indicadores procedimentales para evaluación de capacidad gubernamental.</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trabajo establece un marco conceptual fundamental para entender la capacidad de políticas en el Estado contemporáneo, reconociendo las tensiones entre presiones por reducir el rol estatal y la persistente necesidad de capacidad gubernamental efectiva. Los autores demuestran que la globalización y las reformas administrativas han transformado, pero no eliminado, la importancia de la capacidad estatal. Su distinción entre tipos de capacidad y el modelo triangular proporcionan herramientas analíticas valiosas para estudiar la efectividad gubernamental. El trabajo contribuye significativamente al debate sobre el futuro del Estado en contextos de gobernanza compleja, sugiriendo que la capacidad de políticas sigue siendo central para el gobierno efectivo, aunque requiere reconceptualización. La obra es particularmente relevante para entender cómo los Estados pueden mantener capacidad directiva en entornos institucionales fragmentados y globalizados.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FF9C4"/>
          </w:tcPr>
          <w:p>
            <w:r>
              <w:rPr>
                <w:b/>
                <w:color w:val="F57F17"/>
                <w:sz w:val="16"/>
              </w:rPr>
              <w:t xml:space="preserve">[1] </w:t>
            </w:r>
            <w:r>
              <w:rPr>
                <w:sz w:val="14"/>
              </w:rPr>
              <w:t>Menciona conocimiento técnico como recurso individual pero sin operacionalización</w:t>
            </w:r>
          </w:p>
        </w:tc>
        <w:tc>
          <w:tcPr>
            <w:tcW w:type="dxa" w:w="2351"/>
            <w:shd w:val="clear" w:color="auto" w:fill="C8E6C9"/>
          </w:tcPr>
          <w:p>
            <w:r>
              <w:rPr>
                <w:b/>
                <w:color w:val="2E7D32"/>
                <w:sz w:val="16"/>
              </w:rPr>
              <w:t xml:space="preserve">[2] </w:t>
            </w:r>
            <w:r>
              <w:rPr>
                <w:sz w:val="14"/>
              </w:rPr>
              <w:t>Define liderazgo ejecutivo y habilidades gerenciales como componentes de capacidad operati</w:t>
            </w:r>
          </w:p>
        </w:tc>
        <w:tc>
          <w:tcPr>
            <w:tcW w:type="dxa" w:w="2351"/>
            <w:shd w:val="clear" w:color="auto" w:fill="FFF9C4"/>
          </w:tcPr>
          <w:p>
            <w:r>
              <w:rPr>
                <w:b/>
                <w:color w:val="F57F17"/>
                <w:sz w:val="16"/>
              </w:rPr>
              <w:t xml:space="preserve">[1] </w:t>
            </w:r>
            <w:r>
              <w:rPr>
                <w:sz w:val="14"/>
              </w:rPr>
              <w:t>Referencias tangenciales a habilidades políticas de funcionarios pero sin desarrollo</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Desarrolla infraestructura institucional, memoria organizacional y sistemas de información</w:t>
            </w:r>
          </w:p>
        </w:tc>
        <w:tc>
          <w:tcPr>
            <w:tcW w:type="dxa" w:w="2351"/>
            <w:shd w:val="clear" w:color="auto" w:fill="2E7D32"/>
          </w:tcPr>
          <w:p>
            <w:r>
              <w:rPr>
                <w:b/>
                <w:color w:val="FFFFFF"/>
                <w:sz w:val="16"/>
              </w:rPr>
              <w:t xml:space="preserve">[3] </w:t>
            </w:r>
            <w:r>
              <w:rPr>
                <w:sz w:val="14"/>
              </w:rPr>
              <w:t>Marco detallado de coordinación interna, control burocrático y recursos organizacionales</w:t>
            </w:r>
          </w:p>
        </w:tc>
        <w:tc>
          <w:tcPr>
            <w:tcW w:type="dxa" w:w="2351"/>
            <w:shd w:val="clear" w:color="auto" w:fill="C8E6C9"/>
          </w:tcPr>
          <w:p>
            <w:r>
              <w:rPr>
                <w:b/>
                <w:color w:val="2E7D32"/>
                <w:sz w:val="16"/>
              </w:rPr>
              <w:t xml:space="preserve">[2] </w:t>
            </w:r>
            <w:r>
              <w:rPr>
                <w:sz w:val="14"/>
              </w:rPr>
              <w:t>Conceptualiza reputación institucional y acceso a decisores como dimensión organizacional</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Conceptualiza sistemas nacionales de estadística y redes transnacionales de conocimiento</w:t>
            </w:r>
          </w:p>
        </w:tc>
        <w:tc>
          <w:tcPr>
            <w:tcW w:type="dxa" w:w="2351"/>
            <w:shd w:val="clear" w:color="auto" w:fill="2E7D32"/>
          </w:tcPr>
          <w:p>
            <w:r>
              <w:rPr>
                <w:b/>
                <w:color w:val="FFFFFF"/>
                <w:sz w:val="16"/>
              </w:rPr>
              <w:t xml:space="preserve">[3] </w:t>
            </w:r>
            <w:r>
              <w:rPr>
                <w:sz w:val="14"/>
              </w:rPr>
              <w:t>Análisis extenso de relaciones intergubernamentales y marcos regulatorios multinivel</w:t>
            </w:r>
          </w:p>
        </w:tc>
        <w:tc>
          <w:tcPr>
            <w:tcW w:type="dxa" w:w="2351"/>
            <w:shd w:val="clear" w:color="auto" w:fill="C8E6C9"/>
          </w:tcPr>
          <w:p>
            <w:r>
              <w:rPr>
                <w:b/>
                <w:color w:val="2E7D32"/>
                <w:sz w:val="16"/>
              </w:rPr>
              <w:t xml:space="preserve">[2] </w:t>
            </w:r>
            <w:r>
              <w:rPr>
                <w:sz w:val="14"/>
              </w:rPr>
              <w:t>Marco conceptual de legitimidad, confianza pública y accountability como capacidad sistémi</w:t>
            </w:r>
          </w:p>
        </w:tc>
      </w:tr>
    </w:tbl>
    <w:p/>
    <w:p>
      <w:r>
        <w:rPr>
          <w:sz w:val="18"/>
        </w:rPr>
        <w:t>AI: 1 | Menciona conocimiento técnico como recurso individual pero sin operacionalización</w:t>
        <w:br/>
        <w:t>AO: 3 | Desarrolla infraestructura institucional, memoria organizacional y sistemas de información como elementos centrales</w:t>
        <w:br/>
        <w:t>AS: 2 | Conceptualiza sistemas nacionales de estadística y redes transnacionales de conocimiento</w:t>
        <w:br/>
        <w:t>OI: 2 | Define liderazgo ejecutivo y habilidades gerenciales como componentes de capacidad operativa</w:t>
        <w:br/>
        <w:t>OO: 3 | Marco detallado de coordinación interna, control burocrático y recursos organizacionales</w:t>
        <w:br/>
        <w:t>OS: 3 | Análisis extenso de relaciones intergubernamentales y marcos regulatorios multinivel</w:t>
        <w:br/>
        <w:t>PI: 1 | Referencias tangenciales a habilidades políticas de funcionarios pero sin desarrollo</w:t>
        <w:br/>
        <w:t>PO: 2 | Conceptualiza reputación institucional y acceso a decisores como dimensión organizacional</w:t>
        <w:br/>
        <w:t>PS: 2 | Marco conceptual de legitimidad, confianza pública y accountability como capacidad sistémica</w:t>
        <w:br/>
        <w:br/>
        <w:t>CELDAS_PRINCIPALES: AO, OO, OS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 xml:space="preserve">REFORMA ESTRUCTURAL: </w:t>
              <w:br/>
              <w:t>- Reformas del servicio civil para profesionalización burocrática</w:t>
              <w:br/>
              <w:t>- Descentralización y redefinición de competencias entre niveles</w:t>
              <w:br/>
              <w:t>- Agencificación y separación política-administración</w:t>
              <w:br/>
              <w:t>- Nuevas formas de accountability y transparencia</w:t>
              <w:br/>
              <w:br/>
              <w:t>ANCLAJE DURO:</w:t>
              <w:br/>
              <w:t>- Marcos regulatorios y procedimientos estandarizados</w:t>
              <w:br/>
              <w:t>- Sistemas de información y gestión del conocimiento institucional</w:t>
              <w:br/>
              <w:br/>
              <w:t>ANCLAJE BLANDO:</w:t>
              <w:br/>
              <w:t>- Desarrollo de cultura organizacional orientada a evidencia</w:t>
              <w:br/>
              <w:t>- Construcción de redes inter-organizacionales</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Reformas administrativas → fragmentación organizacional → debilitamiento OO → necesidad de nuevos mecanismos coordinación</w:t>
              <w:br/>
              <w:br/>
              <w:t>Globalización → presión sobre marcos regulatorios nacionales → fortalecimiento OS → compensación por debilidades domésticas</w:t>
              <w:br/>
              <w:br/>
              <w:t>Agencificación → autonomía operativa → mayor especialización AI/AO → riesgo de pérdida coordinación OO</w:t>
              <w:br/>
              <w:br/>
              <w:t>Descentralización → redistribución competencias → cambios en OS → impacto variable según capacidades preexistentes</w:t>
            </w:r>
          </w:p>
        </w:tc>
      </w:tr>
    </w:tbl>
    <w:p/>
    <w:p>
      <w:pPr>
        <w:pStyle w:val="Heading2"/>
      </w:pPr>
      <w:r>
        <w:rPr>
          <w:color w:val="1B4332"/>
        </w:rPr>
        <w:t>VI | Condiciones estructurales (facilitadoras/inhibidoras)</w:t>
      </w:r>
    </w:p>
    <w:p>
      <w:r>
        <w:rPr>
          <w:sz w:val="20"/>
        </w:rPr>
        <w:t>FACILITADORES:</w:t>
        <w:br/>
        <w:t>- Marcos institucionales estables: proporcionan bases para desarrollo de capacidades organizacionales</w:t>
        <w:br/>
        <w:t>- Redes inter-organizacionales: facilitan coordinación y transferencia de conocimiento</w:t>
        <w:br/>
        <w:t>- Autonomía operativa: permite desarrollo de capacidades técnicas especializadas</w:t>
        <w:br/>
        <w:t>- Legitimidad democrática: sustenta capacidades políticas y de accountability</w:t>
        <w:br/>
        <w:br/>
        <w:t>INHIBIDORES:</w:t>
        <w:br/>
        <w:t>- Fragmentación institucional: erosiona capacidades de coordinación OO</w:t>
        <w:br/>
        <w:t>- Dependencia de actores externos: limita desarrollo de capacidades internas</w:t>
        <w:br/>
        <w:t>- Rotación política frecuente: impide consolidación de memoria institucional AO</w:t>
        <w:br/>
        <w:t>- Presiones de corto plazo: inhiben inversiones en capacidad de largo plazo</w:t>
      </w:r>
    </w:p>
    <w:p>
      <w:pPr>
        <w:pStyle w:val="Heading2"/>
      </w:pPr>
      <w:r>
        <w:rPr>
          <w:color w:val="1B4332"/>
        </w:rPr>
        <w:t>VII | Comparabilidad contextual con Rionegro</w:t>
      </w:r>
    </w:p>
    <w:p>
      <w:r>
        <w:rPr>
          <w:b/>
          <w:sz w:val="20"/>
        </w:rPr>
        <w:t xml:space="preserve">País: </w:t>
      </w:r>
      <w:r>
        <w:rPr>
          <w:sz w:val="20"/>
        </w:rPr>
        <w:t>Múltiples (Australia, Canadá, Reino Unido, países nórdicos, asiáticos)</w:t>
      </w:r>
    </w:p>
    <w:p>
      <w:r>
        <w:rPr>
          <w:b/>
          <w:sz w:val="20"/>
        </w:rPr>
        <w:t xml:space="preserve">Nivel de gobierno: </w:t>
      </w:r>
      <w:r>
        <w:rPr>
          <w:sz w:val="20"/>
        </w:rPr>
        <w:t>Nacional/subnacional/transnacional</w:t>
      </w:r>
    </w:p>
    <w:p>
      <w:r>
        <w:rPr>
          <w:b/>
          <w:sz w:val="20"/>
        </w:rPr>
        <w:t xml:space="preserve">Tamaño del gobierno: </w:t>
      </w:r>
      <w:r>
        <w:rPr>
          <w:sz w:val="20"/>
        </w:rPr>
        <w:t>Variable (casos grandes y medianos)</w:t>
      </w:r>
    </w:p>
    <w:p>
      <w:r>
        <w:rPr>
          <w:b/>
          <w:sz w:val="20"/>
        </w:rPr>
        <w:t xml:space="preserve">Ingreso/Categoría fiscal: </w:t>
      </w:r>
      <w:r>
        <w:rPr>
          <w:sz w:val="20"/>
        </w:rPr>
        <w:t>Alto/medio</w:t>
      </w:r>
    </w:p>
    <w:p>
      <w:r>
        <w:rPr>
          <w:b/>
          <w:sz w:val="20"/>
        </w:rPr>
        <w:t xml:space="preserve">Tipo de régimen burocrático: </w:t>
      </w:r>
      <w:r>
        <w:rPr>
          <w:sz w:val="20"/>
        </w:rPr>
        <w:t>Weberiano en transición/híbrido</w:t>
      </w:r>
    </w:p>
    <w:p>
      <w:r>
        <w:rPr>
          <w:b/>
          <w:sz w:val="20"/>
        </w:rPr>
        <w:t xml:space="preserve">Sector de política: </w:t>
      </w:r>
      <w:r>
        <w:rPr>
          <w:sz w:val="20"/>
        </w:rPr>
        <w:t>Transversal</w:t>
      </w:r>
    </w:p>
    <w:p>
      <w:r>
        <w:rPr>
          <w:b/>
          <w:sz w:val="20"/>
        </w:rPr>
        <w:t xml:space="preserve">Comparabilidad con Rionegro: </w:t>
      </w:r>
      <w:r>
        <w:rPr>
          <w:sz w:val="20"/>
        </w:rPr>
        <w:t>Media</w:t>
      </w:r>
    </w:p>
    <w:p>
      <w:r>
        <w:rPr>
          <w:b/>
          <w:sz w:val="20"/>
        </w:rPr>
        <w:t xml:space="preserve">Justificación: </w:t>
      </w:r>
      <w:r>
        <w:rPr>
          <w:sz w:val="20"/>
        </w:rPr>
        <w:t>Analiza tensiones similares entre profesionalización y dependencia externa, pero en contextos de mayor institucionalización inicial</w:t>
      </w:r>
    </w:p>
    <w:p>
      <w:pPr>
        <w:pStyle w:val="Heading2"/>
      </w:pPr>
      <w:r>
        <w:rPr>
          <w:color w:val="1B4332"/>
        </w:rPr>
        <w:t>VIII | Conexión con las 4 preguntas empíricas</w:t>
      </w:r>
    </w:p>
    <w:p>
      <w:r>
        <w:rPr>
          <w:sz w:val="20"/>
        </w:rPr>
        <w:t>P1 — Anclaje duro → nivel organizacional: Marco regulatorio y sistemas estandarizados fortalecen capacidades organizacionales de coordinación</w:t>
      </w:r>
      <w:r>
        <w:rPr>
          <w:b/>
          <w:color w:val="2E7D32"/>
          <w:sz w:val="20"/>
        </w:rPr>
        <w:t xml:space="preserve">  →  Soporta</w:t>
      </w:r>
    </w:p>
    <w:p>
      <w:r>
        <w:rPr>
          <w:sz w:val="20"/>
        </w:rPr>
        <w:t>P2 — Intervenciones blandas → individual/político: Redes y cultura organizacional impactan principalmente en niveles individual y político</w:t>
      </w:r>
      <w:r>
        <w:rPr>
          <w:b/>
          <w:color w:val="2E7D32"/>
          <w:sz w:val="20"/>
        </w:rPr>
        <w:t xml:space="preserve">  →  Soporta</w:t>
      </w:r>
    </w:p>
    <w:p>
      <w:r>
        <w:rPr>
          <w:sz w:val="20"/>
        </w:rPr>
        <w:t>P3 — Inercia dimensional → restricciones estructurales: Identifica dimensiones estructuralmente resistentes como marcos legales OS</w:t>
      </w:r>
      <w:r>
        <w:rPr>
          <w:b/>
          <w:color w:val="1565C0"/>
          <w:sz w:val="20"/>
        </w:rPr>
        <w:t xml:space="preserve">  →  Extiende</w:t>
      </w:r>
    </w:p>
    <w:p>
      <w:r>
        <w:rPr>
          <w:sz w:val="20"/>
        </w:rPr>
        <w:t>P4 — Apropiación superficial vs. real: Advierte sobre reformas formales sin cambio de capacidades subyacentes</w:t>
      </w:r>
      <w:r>
        <w:rPr>
          <w:b/>
          <w:color w:val="2E7D32"/>
          <w:sz w:val="20"/>
        </w:rPr>
        <w:t xml:space="preserve">  →  Soporta</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is the ability to marshal necessary resources to make intelligent collective choices" (p.1)"</w:t>
      </w:r>
    </w:p>
    <w:p>
      <w:pPr>
        <w:ind w:left="567" w:right="567"/>
      </w:pPr>
      <w:r>
        <w:rPr>
          <w:i/>
          <w:color w:val="444444"/>
          <w:sz w:val="19"/>
        </w:rPr>
        <w:t>""The policy capacity of the modern, lean state is not the same as that of the 1960s" (p.2)"</w:t>
      </w:r>
    </w:p>
    <w:p>
      <w:pPr>
        <w:ind w:left="567" w:right="567"/>
      </w:pPr>
      <w:r>
        <w:rPr>
          <w:i/>
          <w:color w:val="444444"/>
          <w:sz w:val="19"/>
        </w:rPr>
        <w:t>""Contemporary conditions require fresh thinking about the nature of policy capacity" (p.2)"</w:t>
      </w:r>
    </w:p>
    <w:p>
      <w:pPr>
        <w:ind w:left="567" w:right="567"/>
      </w:pPr>
      <w:r>
        <w:rPr>
          <w:i/>
          <w:color w:val="444444"/>
          <w:sz w:val="19"/>
        </w:rPr>
        <w:t>""Policy capacity can be seen as a pivot around which administrative and state capacity revolve" (p.3)"</w:t>
      </w:r>
    </w:p>
    <w:p>
      <w:pPr>
        <w:pStyle w:val="Heading3"/>
      </w:pPr>
      <w:r>
        <w:rPr>
          <w:color w:val="0D47A1"/>
        </w:rPr>
        <w:t>Para Metodología</w:t>
      </w:r>
    </w:p>
    <w:p>
      <w:pPr>
        <w:ind w:left="567" w:right="567"/>
      </w:pPr>
      <w:r>
        <w:rPr>
          <w:i/>
          <w:color w:val="444444"/>
          <w:sz w:val="19"/>
        </w:rPr>
        <w:t>""Policy capacity focuses on relations between the state and society, drawing attention to outcomes" (p.2)"</w:t>
      </w:r>
    </w:p>
    <w:p>
      <w:pPr>
        <w:ind w:left="567" w:right="567"/>
      </w:pPr>
      <w:r>
        <w:rPr>
          <w:i/>
          <w:color w:val="444444"/>
          <w:sz w:val="19"/>
        </w:rPr>
        <w:t>""Fresh thinking required about conditions for policy capacity in contemporary governance contexts" (p.2)"</w:t>
      </w:r>
    </w:p>
    <w:p>
      <w:pPr>
        <w:ind w:left="567" w:right="567"/>
      </w:pPr>
      <w:r>
        <w:rPr>
          <w:i/>
          <w:color w:val="444444"/>
          <w:sz w:val="19"/>
        </w:rPr>
        <w:t>""Comparative perspectives essential for understanding variations in capacity challenges" (introducción)"</w:t>
      </w:r>
    </w:p>
    <w:p>
      <w:pPr>
        <w:pStyle w:val="Heading3"/>
      </w:pPr>
      <w:r>
        <w:rPr>
          <w:color w:val="BF360C"/>
        </w:rPr>
        <w:t>Para Discusión</w:t>
      </w:r>
    </w:p>
    <w:p>
      <w:pPr>
        <w:ind w:left="567" w:right="567"/>
      </w:pPr>
      <w:r>
        <w:rPr>
          <w:i/>
          <w:color w:val="444444"/>
          <w:sz w:val="19"/>
        </w:rPr>
        <w:t>""Administrative reforms have arguably removed some policy capacity by displacing it outwards to agencies" (p.1)"</w:t>
      </w:r>
    </w:p>
    <w:p>
      <w:pPr>
        <w:ind w:left="567" w:right="567"/>
      </w:pPr>
      <w:r>
        <w:rPr>
          <w:i/>
          <w:color w:val="444444"/>
          <w:sz w:val="19"/>
        </w:rPr>
        <w:t>""Markets not well-suited to define and pursue collective interests" (p.2)"</w:t>
      </w:r>
    </w:p>
    <w:p>
      <w:pPr>
        <w:ind w:left="567" w:right="567"/>
      </w:pPr>
      <w:r>
        <w:rPr>
          <w:i/>
          <w:color w:val="444444"/>
          <w:sz w:val="19"/>
        </w:rPr>
        <w:t>""Growing consensus on need for policy capacity, but contemporary conditions require different approaches" (p.2)"</w:t>
      </w:r>
    </w:p>
    <w:p>
      <w:pPr>
        <w:ind w:left="567" w:right="567"/>
      </w:pPr>
      <w:r>
        <w:rPr>
          <w:i/>
          <w:color w:val="444444"/>
          <w:sz w:val="19"/>
        </w:rPr>
        <w:t>""Globalization calls for projection of policy capacity into transnational arenas" (p.2)"</w:t>
      </w:r>
    </w:p>
    <w:p>
      <w:pPr>
        <w:pStyle w:val="Heading2"/>
      </w:pPr>
      <w:r>
        <w:rPr>
          <w:color w:val="1B4332"/>
        </w:rPr>
        <w:t>X | Vacíos estratégicos</w:t>
      </w:r>
    </w:p>
    <w:p>
      <w:r>
        <w:rPr>
          <w:sz w:val="20"/>
        </w:rPr>
        <w:t>1. No operacionaliza indicadores concretos para medir capacidades en contextos subnacionales</w:t>
        <w:br/>
        <w:t>2. Carece de análisis específico sobre gobiernos dependientes de contratistas</w:t>
        <w:br/>
        <w:t>3. No aborda mecanismos de evaluación de efectividad de intervenciones</w:t>
        <w:br/>
        <w:t>4. Limitado análisis de sostenibilidad temporal de reformas de capacidad</w:t>
        <w:br/>
        <w:t>5. Ausencia de marco para medir apropiación real vs. superficial de capacidades</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Esta obra constituye el marco teórico fundacional para el análisis de capacidades de política pública, proporcionando la distinción conceptual crítica entre capacidad administrativa, de políticas públicas y estatal que estructura todo el campo. Su aporte principal a la matriz de 9 celdas se concentra en las dimensiones organizacional y sistémica (AO, OO, OS), desarrollando marcos conceptuales robustos sobre coordinación, memoria institucional y relaciones intergubernamentales. Para el proyecto de Rionegro, ofrece el andamiaje teórico esencial que justifica la necesidad de nuevos enfoques de medición en contextos de baja institucionalización y alta dependencia externa. La obra anticipa las tensiones centrales que enfrenta Rionegro entre modernización administrativa y dependencia de contratistas, proporcionando legitimidad académica al enfoque de intervención longitudinal. Su principal limitación es la ausencia de instrumentos operacionales específicos, vacío que el estudio de Rionegro está posicionado para llenar mediante su aproximación empírica innovadora.</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