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332"/>
          <w:sz w:val="28"/>
        </w:rPr>
        <w:t>FICHA DE LECTURA — CAPACIDADES DE POLÍTICA PÚBLICA</w:t>
      </w:r>
    </w:p>
    <w:p>
      <w:pPr>
        <w:jc w:val="center"/>
      </w:pPr>
      <w:r>
        <w:rPr>
          <w:i/>
          <w:color w:val="666666"/>
          <w:sz w:val="20"/>
        </w:rPr>
        <w:t>Proyecto: Medición de capacidades — Municipio de Rionegro, Antioquia</w:t>
      </w:r>
    </w:p>
    <w:p>
      <w:pPr>
        <w:jc w:val="center"/>
      </w:pPr>
      <w:r>
        <w:rPr>
          <w:i/>
          <w:sz w:val="22"/>
        </w:rPr>
        <w:t>Regonini, G. (2017). Governmentalities without policy capacity. Policy Sciences, 50(2), 163-178. https://doi.org/10.1007/s11077-017-9283-3</w:t>
      </w:r>
    </w:p>
    <w:p>
      <w:pPr>
        <w:jc w:val="center"/>
      </w:pPr>
      <w:r>
        <w:rPr>
          <w:b/>
          <w:color w:val="1B4332"/>
          <w:sz w:val="22"/>
        </w:rPr>
        <w:t>●  ● Puntaje matriz: 0/27</w:t>
      </w:r>
    </w:p>
    <w:p/>
    <w:p>
      <w:pPr>
        <w:pStyle w:val="Heading1"/>
      </w:pPr>
      <w:r>
        <w:rPr>
          <w:color w:val="1B4332"/>
        </w:rPr>
        <w:t>PARTE I — FICHA GENÉRICA DEL ARTÍCULO</w:t>
      </w:r>
    </w:p>
    <w:p>
      <w:pPr>
        <w:pStyle w:val="Heading2"/>
      </w:pPr>
      <w:r>
        <w:rPr>
          <w:color w:val="1B4332"/>
        </w:rPr>
        <w:t>1 | Referencia bibliográfica (APA 7)</w:t>
      </w:r>
    </w:p>
    <w:p>
      <w:r>
        <w:rPr>
          <w:sz w:val="20"/>
        </w:rPr>
        <w:t>Regonini, G. (2017). Governmentalities without policy capacity. Policy Sciences, 50(2), 163-178. https://doi.org/10.1007/s11077-017-9283-3</w:t>
      </w:r>
    </w:p>
    <w:p>
      <w:pPr>
        <w:pStyle w:val="Heading2"/>
      </w:pPr>
      <w:r>
        <w:rPr>
          <w:color w:val="1B4332"/>
        </w:rPr>
        <w:t>2 | Objetivo explícito del autor</w:t>
      </w:r>
    </w:p>
    <w:p>
      <w:r>
        <w:rPr>
          <w:sz w:val="20"/>
        </w:rPr>
        <w:t>El estudio busca explicar por qué los parámetros de capacidad de política pueden ser inapropiados para países europeos continentales como Francia, Alemania, España e Italia, donde el concepto de política como lógica de acción para resolver problemas colectivos no forma parte completamente de las herramientas gubernamentales. Analiza los problemas de compatibilidad que surgen cuando estos países intentan adoptar perspectivas analíticas de política bajo presión externa.</w:t>
      </w:r>
    </w:p>
    <w:p>
      <w:pPr>
        <w:ind w:left="567" w:right="567"/>
      </w:pPr>
      <w:r>
        <w:rPr>
          <w:i/>
          <w:color w:val="444444"/>
          <w:sz w:val="19"/>
        </w:rPr>
        <w:t>""explain why [...] these parameters may be inappropriate even for some major continental European countries" (p. 165)"</w:t>
      </w:r>
    </w:p>
    <w:p>
      <w:pPr>
        <w:pStyle w:val="Heading2"/>
      </w:pPr>
      <w:r>
        <w:rPr>
          <w:color w:val="1B4332"/>
        </w:rPr>
        <w:t>3 | Pregunta de investigación</w:t>
      </w:r>
    </w:p>
    <w:p>
      <w:pPr>
        <w:ind w:left="567" w:right="567"/>
      </w:pPr>
      <w:r>
        <w:rPr>
          <w:i/>
          <w:color w:val="444444"/>
          <w:sz w:val="19"/>
        </w:rPr>
        <w:t>"¿Por qué algunos países europeos con historias institucionales largas y complejas no han integrado completamente el paradigma de análisis de políticas en su gubernamentalidad, y qué obstáculos enfrentan al intentar adoptarlo?"</w:t>
      </w:r>
    </w:p>
    <w:p>
      <w:pPr>
        <w:pStyle w:val="Heading2"/>
      </w:pPr>
      <w:r>
        <w:rPr>
          <w:color w:val="1B4332"/>
        </w:rPr>
        <w:t>4 | Tesis central</w:t>
      </w:r>
    </w:p>
    <w:p>
      <w:r>
        <w:rPr>
          <w:sz w:val="20"/>
        </w:rPr>
        <w:t>Los sistemas gubernamentales de países europeos continentales operan con repertorios consolidados de procedimientos estándar que no incluyen las prescripciones derivadas del concepto exigente de política. La subutilización del análisis de políticas se debe al éxito de otras perspectivas disciplinarias -derecho, finanzas públicas y administración pública- que han adquirido legitimidad como ciencias de las instituciones. La adopción de esta perspectiva analítica requiere instalación de un nuevo sistema operativo más que una actualización de software.</w:t>
      </w:r>
    </w:p>
    <w:p>
      <w:pPr>
        <w:ind w:left="567" w:right="567"/>
      </w:pPr>
      <w:r>
        <w:rPr>
          <w:i/>
          <w:color w:val="444444"/>
          <w:sz w:val="19"/>
        </w:rPr>
        <w:t>""the competencies prescribed equate to the installation of a new operating system" (p. 165)"</w:t>
      </w:r>
    </w:p>
    <w:p>
      <w:pPr>
        <w:pStyle w:val="Heading2"/>
      </w:pPr>
      <w:r>
        <w:rPr>
          <w:color w:val="1B4332"/>
        </w:rPr>
        <w:t>5 | Marco teórico utilizado</w:t>
      </w:r>
    </w:p>
    <w:p>
      <w:r>
        <w:rPr>
          <w:sz w:val="20"/>
        </w:rPr>
        <w:t>1. Gubernamentalidad (Foucault): Relación entre instituciones políticas y concepciones de la esfera pública que las legitiman</w:t>
        <w:br/>
        <w:t>2. Capacidad analítica de políticas (CAP): Habilidades técnicas específicas aplicadas desde la primera etapa de toma de decisiones</w:t>
        <w:br/>
        <w:t>3. Teoría de gobernanza: Indicadores estandarizados de "buen gobierno" en comparaciones internacionales</w:t>
        <w:br/>
        <w:t>4. Paradigmas disciplinarios institucionales: Derecho, finanzas públicas y administración pública como marcos alternativos</w:t>
      </w:r>
    </w:p>
    <w:p>
      <w:pPr>
        <w:pStyle w:val="Heading2"/>
      </w:pPr>
      <w:r>
        <w:rPr>
          <w:color w:val="1B4332"/>
        </w:rPr>
        <w:t>7 | Conceptos clave</w:t>
      </w:r>
    </w:p>
    <w:p>
      <w:r>
        <w:rPr>
          <w:sz w:val="20"/>
        </w:rPr>
        <w:t>1. **Gubernamentalidad** (p. 166): Práctica calculada y reflexiva de gobierno que integra organización estatal y ciencias de las instituciones públicas</w:t>
        <w:br/>
        <w:t>2. **Capacidad analítica de políticas** (p. 164): Habilidades técnicas específicas aplicadas inteligente y apropiadamente desde la primera etapa de toma de decisiones</w:t>
        <w:br/>
        <w:t>3. **Ontologías institucionales** (p. 167): Marcos semánticos de referencia para diseñar y dar cuenta de lo que hacen las instituciones</w:t>
        <w:br/>
        <w:t>4. **Procedimientos operativos estándar** (p. 163): Repertorios consolidados que definen completamente los procedimientos de las instituciones democráticas</w:t>
        <w:br/>
        <w:t>5. **Paradigma de política** (p. 163): Actividad consciente de resolución de problemas sociales con curso de acción propositivo</w:t>
        <w:br/>
        <w:t>6. **Ciencias de las instituciones públicas** (p. 166): Perspectivas epistémicas que proporcionan fundamento ontológico y técnico a las competencias de las autoridades políticas</w:t>
      </w:r>
    </w:p>
    <w:p>
      <w:pPr>
        <w:pStyle w:val="Heading2"/>
      </w:pPr>
      <w:r>
        <w:rPr>
          <w:color w:val="1B4332"/>
        </w:rPr>
        <w:t>8 | Reconstrucción analítica del argumento</w:t>
      </w:r>
    </w:p>
    <w:p>
      <w:r>
        <w:rPr>
          <w:sz w:val="20"/>
        </w:rPr>
        <w:t>Los países europeos continentales han logrado cambios importantes sin instrumentos derivados del concepto exigente de política, basándose en tres paradigmas disciplinarios consolidados: derecho, finanzas públicas y administración pública. Estos marcos proporcionan descripciones comprehensivas y marcos prescriptivos autoritativos para la acción gubernamental. La resistencia a adoptar el paradigma de política surge del temor a que amenace el equilibrio entre órganos constitucionales y constriña el liderazgo político. La solución intentada por algunos países es la inclusión constitucional de la evaluación de políticas como función parlamentaria.</w:t>
      </w:r>
    </w:p>
    <w:p>
      <w:pPr>
        <w:pStyle w:val="Heading2"/>
      </w:pPr>
      <w:r>
        <w:rPr>
          <w:color w:val="1B4332"/>
        </w:rPr>
        <w:t>10 | Aportes principales</w:t>
      </w:r>
    </w:p>
    <w:p>
      <w:r>
        <w:rPr>
          <w:sz w:val="20"/>
        </w:rPr>
        <w:t>1. Distinción conceptual entre déficit de capacidad vs. sistemas operativos alternativos exitosos</w:t>
        <w:br/>
        <w:t>2. Identificación de tres ontologías institucionales alternativas al paradigma de política</w:t>
        <w:br/>
        <w:t>3. Explicación de resistencias institucionales basadas en temores sobre equilibrio constitucional</w:t>
        <w:br/>
        <w:t>4. Análisis genealógico de divergencias históricas en conceptos de gobierno</w:t>
        <w:br/>
        <w:t>5. Marco teórico alternativo usando gubernamentalidad vs. gobernanza para comparaciones internacionales</w:t>
      </w:r>
    </w:p>
    <w:p>
      <w:pPr>
        <w:pStyle w:val="Heading2"/>
      </w:pPr>
      <w:r>
        <w:rPr>
          <w:color w:val="1B4332"/>
        </w:rPr>
        <w:t>11 | Limitaciones</w:t>
      </w:r>
    </w:p>
    <w:p>
      <w:r>
        <w:rPr>
          <w:sz w:val="20"/>
        </w:rPr>
        <w:t>1. Enfoque limitado a países europeos continentales específicos</w:t>
        <w:br/>
        <w:t>2. Análisis principalmente teórico-conceptual sin evidencia empírica extensa</w:t>
        <w:br/>
        <w:t>3. No se evalúan sistemáticamente los resultados de las inclusiones constitucionales</w:t>
        <w:br/>
        <w:t>4. Falta de análisis detallado de mecanismos de transición entre sistemas</w:t>
      </w:r>
    </w:p>
    <w:p>
      <w:pPr>
        <w:pStyle w:val="Heading2"/>
      </w:pPr>
      <w:r>
        <w:rPr>
          <w:color w:val="1B4332"/>
        </w:rPr>
        <w:t>12 | Conexión con debates mayores</w:t>
      </w:r>
    </w:p>
    <w:p>
      <w:r>
        <w:rPr>
          <w:sz w:val="20"/>
        </w:rPr>
        <w:t>El artículo contribuye al debate sobre capacidad estatal cuestionando supuestos universalistas sobre convergencia hacia modelos angloamericanos. Desafía perspectivas de Nueva Gestión Pública que asumen superioridad inherente del paradigma de política. Conecta con debates sobre gobernanza multinivel al mostrar cómo tradiciones nacionales median adopción de estándares internacionales. Aporta a discusiones sobre descentralización al evidenciar que marcos institucionales alternativos pueden ser igualmente efectivos.</w:t>
      </w:r>
    </w:p>
    <w:p>
      <w:pPr>
        <w:pStyle w:val="Heading2"/>
      </w:pPr>
      <w:r>
        <w:rPr>
          <w:color w:val="1B4332"/>
        </w:rPr>
        <w:t>13 | Observaciones críticas propias</w:t>
      </w:r>
    </w:p>
    <w:p>
      <w:r>
        <w:rPr>
          <w:sz w:val="20"/>
        </w:rPr>
        <w:t>El análisis asume excesivamente que los paradigmas alternativos son mutuamente excluyentes con el análisis de políticas, cuando podrían ser complementarios. No problematiza suficientemente por qué algunos países europeos continentales han sido más exitosos que otros con marcos similares. La genealogía histórica, aunque ilustrativa, podría subestimar capacidades de adaptación institucional contemporáneas. Falta análisis más profundo de cómo ciudadanos y stakeholders experimentan estas diferencias en la práctica gubernamental.</w:t>
      </w:r>
    </w:p>
    <w:p>
      <w:pPr>
        <w:pStyle w:val="Heading2"/>
      </w:pPr>
      <w:r>
        <w:rPr>
          <w:color w:val="1B4332"/>
        </w:rPr>
        <w:t>6 | Tipo de investigación y metodología</w:t>
      </w:r>
    </w:p>
    <w:p>
      <w:r>
        <w:rPr>
          <w:b/>
          <w:sz w:val="20"/>
        </w:rPr>
        <w:t xml:space="preserve">Diseño: </w:t>
      </w:r>
      <w:r>
        <w:rPr>
          <w:sz w:val="20"/>
        </w:rPr>
        <w:t>Estudio comparativo cualitativo</w:t>
      </w:r>
    </w:p>
    <w:p>
      <w:r>
        <w:rPr>
          <w:b/>
          <w:sz w:val="20"/>
        </w:rPr>
        <w:t xml:space="preserve">Universo: </w:t>
      </w:r>
      <w:r>
        <w:rPr>
          <w:sz w:val="20"/>
        </w:rPr>
        <w:t>Países democráticos con capacidades de política variables</w:t>
      </w:r>
    </w:p>
    <w:p>
      <w:r>
        <w:rPr>
          <w:b/>
          <w:sz w:val="20"/>
        </w:rPr>
        <w:t xml:space="preserve">Muestra: </w:t>
      </w:r>
      <w:r>
        <w:rPr>
          <w:sz w:val="20"/>
        </w:rPr>
        <w:t>Francia, Alemania, España e Italia como casos principales</w:t>
      </w:r>
    </w:p>
    <w:p>
      <w:r>
        <w:rPr>
          <w:b/>
          <w:sz w:val="20"/>
        </w:rPr>
        <w:t xml:space="preserve">Instrumentos: </w:t>
      </w:r>
      <w:r>
        <w:rPr>
          <w:sz w:val="20"/>
        </w:rPr>
        <w:t>Análisis documental e institucional comparado</w:t>
      </w:r>
    </w:p>
    <w:p>
      <w:r>
        <w:rPr>
          <w:b/>
          <w:sz w:val="20"/>
        </w:rPr>
        <w:t xml:space="preserve">Variable dependiente: </w:t>
      </w:r>
      <w:r>
        <w:rPr>
          <w:sz w:val="20"/>
        </w:rPr>
        <w:t>Nivel de integración del paradigma de análisis de políticas</w:t>
      </w:r>
    </w:p>
    <w:p>
      <w:r>
        <w:rPr>
          <w:b/>
          <w:sz w:val="20"/>
        </w:rPr>
        <w:t xml:space="preserve">Variables independientes: </w:t>
      </w:r>
      <w:r>
        <w:rPr>
          <w:sz w:val="20"/>
        </w:rPr>
        <w:t>Tradiciones institucionales, marcos disciplinarios alternativos, legitimación constitucional</w:t>
      </w:r>
    </w:p>
    <w:p>
      <w:r>
        <w:rPr>
          <w:b/>
          <w:sz w:val="20"/>
        </w:rPr>
        <w:t xml:space="preserve">Análisis: </w:t>
      </w:r>
      <w:r>
        <w:rPr>
          <w:sz w:val="20"/>
        </w:rPr>
        <w:t>Análisis genealógico y comparativo institucional</w:t>
      </w:r>
    </w:p>
    <w:p>
      <w:r>
        <w:rPr>
          <w:b/>
          <w:sz w:val="20"/>
        </w:rPr>
        <w:t xml:space="preserve">País/Nivel de gobierno: </w:t>
      </w:r>
      <w:r>
        <w:rPr>
          <w:sz w:val="20"/>
        </w:rPr>
        <w:t>Países europeos continentales, nivel nacional</w:t>
      </w:r>
    </w:p>
    <w:p>
      <w:pPr>
        <w:pStyle w:val="Heading2"/>
      </w:pPr>
      <w:r>
        <w:rPr>
          <w:color w:val="1B4332"/>
        </w:rPr>
        <w:t>9 | Evidencia empírica / estadística</w:t>
      </w:r>
    </w:p>
    <w:p>
      <w:r>
        <w:rPr>
          <w:sz w:val="20"/>
        </w:rPr>
        <w:t>Los gobiernos de Francia, Alemania, España e Italia lograron reconstrucción posguerra, reformas sociales de los 1960s, nueva infraestructura y reorganización de servicios de salud ignorando completamente instrumentos derivados del concepto exigente de política. Francia y Alemania obtuvieron resultados positivos en muchos sectores según comparaciones internacionales. Francia completó inclusión constitucional de evaluación de políticas; Italia la intentó recientemente sin éxito. Estos países carecen de equivalente para la palabra inglesa "policy" en sus idiomas cotidianos.</w:t>
      </w:r>
    </w:p>
    <w:p>
      <w:pPr>
        <w:pStyle w:val="Heading2"/>
      </w:pPr>
      <w:r>
        <w:rPr>
          <w:color w:val="1B4332"/>
        </w:rPr>
        <w:t>14 | Conclusión analítica sintética</w:t>
      </w:r>
    </w:p>
    <w:tbl>
      <w:tblPr>
        <w:tblStyle w:val="TableGrid"/>
        <w:tblW w:type="auto" w:w="0"/>
        <w:tblLook w:firstColumn="1" w:firstRow="1" w:lastColumn="0" w:lastRow="0" w:noHBand="0" w:noVBand="1" w:val="04A0"/>
      </w:tblPr>
      <w:tblGrid>
        <w:gridCol w:w="9406"/>
      </w:tblGrid>
      <w:tr>
        <w:tc>
          <w:tcPr>
            <w:tcW w:type="dxa" w:w="9406"/>
            <w:shd w:val="clear" w:color="auto" w:fill="E8F5E9"/>
          </w:tcPr>
          <w:p/>
          <w:p>
            <w:r>
              <w:rPr>
                <w:sz w:val="19"/>
              </w:rPr>
              <w:t>Regonini desafía fundamentalmente los supuestos universalistas sobre capacidad de políticas al demostrar que sistemas gubernamentales exitosos pueden operar con marcos institucionales alternativos basados en derecho, finanzas públicas y administración pública. Su argumento central es que la adopción del paradigma de análisis de políticas en países europeos continentales no representa simplemente llenar un déficit, sino instalar un sistema operativo completamente nuevo que puede amenazar equilibrios constitucionales establecidos. Esta perspectiva tiene relevancia crucial para comparaciones internacionales y programas de desarrollo de capacidades, sugiriendo que la efectividad gubernamental puede lograrse a través de múltiples configuraciones institucionales. El estudio contribuye significativamente al debate sobre capacidad estatal al mostrar cómo tradiciones institucionales nacionales median la adopción de estándares internacionales de "buen gobierno." Su enfoque en gubernamentalidad ofrece una alternativa valiosa a enfoques de gobernanza que asumen convergencia hacia modelos angloamericanos.</w:t>
            </w:r>
          </w:p>
        </w:tc>
      </w:tr>
    </w:tbl>
    <w:p/>
    <w:p>
      <w:r>
        <w:br w:type="page"/>
      </w:r>
    </w:p>
    <w:p>
      <w:pPr>
        <w:pStyle w:val="Heading1"/>
      </w:pPr>
      <w:r>
        <w:rPr>
          <w:color w:val="1B4332"/>
        </w:rPr>
        <w:t>PARTE II — FICHA AJUSTADA AL PROYECTO DE CAPACIDADES</w:t>
      </w:r>
    </w:p>
    <w:p>
      <w:r>
        <w:rPr>
          <w:i/>
          <w:sz w:val="20"/>
        </w:rPr>
        <w:t>Matriz de Wu et al. (2015/2018) aplicada a Rionegro, Antioquia</w:t>
      </w:r>
    </w:p>
    <w:p>
      <w:pPr>
        <w:pStyle w:val="Heading2"/>
      </w:pPr>
      <w:r>
        <w:rPr>
          <w:color w:val="1B4332"/>
        </w:rPr>
        <w:t>I | Mapeo a la Matriz de Capacidades (9 celdas)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B4332"/>
          </w:tcPr>
          <w:p>
            <w:r>
              <w:rPr>
                <w:b/>
                <w:color w:val="FFFFFF"/>
                <w:sz w:val="16"/>
              </w:rPr>
              <w:t>Nivel \ Competencia</w:t>
            </w:r>
          </w:p>
        </w:tc>
        <w:tc>
          <w:tcPr>
            <w:tcW w:type="dxa" w:w="2351"/>
            <w:shd w:val="clear" w:color="auto" w:fill="1B4332"/>
          </w:tcPr>
          <w:p>
            <w:r>
              <w:rPr>
                <w:b/>
                <w:color w:val="FFFFFF"/>
                <w:sz w:val="16"/>
              </w:rPr>
              <w:t>ANALÍTICA</w:t>
            </w:r>
          </w:p>
        </w:tc>
        <w:tc>
          <w:tcPr>
            <w:tcW w:type="dxa" w:w="2351"/>
            <w:shd w:val="clear" w:color="auto" w:fill="1B4332"/>
          </w:tcPr>
          <w:p>
            <w:r>
              <w:rPr>
                <w:b/>
                <w:color w:val="FFFFFF"/>
                <w:sz w:val="16"/>
              </w:rPr>
              <w:t>OPERATIVA</w:t>
            </w:r>
          </w:p>
        </w:tc>
        <w:tc>
          <w:tcPr>
            <w:tcW w:type="dxa" w:w="2351"/>
            <w:shd w:val="clear" w:color="auto" w:fill="1B4332"/>
          </w:tcPr>
          <w:p>
            <w:r>
              <w:rPr>
                <w:b/>
                <w:color w:val="FFFFFF"/>
                <w:sz w:val="16"/>
              </w:rPr>
              <w:t>POLÍTICA</w:t>
            </w:r>
          </w:p>
        </w:tc>
      </w:tr>
      <w:tr>
        <w:tc>
          <w:tcPr>
            <w:tcW w:type="dxa" w:w="2351"/>
            <w:shd w:val="clear" w:color="auto" w:fill="D8F3DC"/>
          </w:tcPr>
          <w:p>
            <w:r>
              <w:rPr>
                <w:b/>
                <w:sz w:val="16"/>
              </w:rPr>
              <w:t>INDIVIDUAL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ORGANIZACIONAL</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r>
        <w:tc>
          <w:tcPr>
            <w:tcW w:type="dxa" w:w="2351"/>
            <w:shd w:val="clear" w:color="auto" w:fill="D8F3DC"/>
          </w:tcPr>
          <w:p>
            <w:r>
              <w:rPr>
                <w:b/>
                <w:sz w:val="16"/>
              </w:rPr>
              <w:t>SISTÉMICO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c>
          <w:tcPr>
            <w:tcW w:type="dxa" w:w="2351"/>
            <w:shd w:val="clear" w:color="auto" w:fill="F5F5F5"/>
          </w:tcPr>
          <w:p>
            <w:r>
              <w:rPr>
                <w:b/>
                <w:color w:val="999999"/>
                <w:sz w:val="16"/>
              </w:rPr>
              <w:t xml:space="preserve">[0] </w:t>
            </w:r>
            <w:r>
              <w:rPr>
                <w:sz w:val="14"/>
              </w:rPr>
              <w:t>No parseado</w:t>
            </w:r>
          </w:p>
        </w:tc>
      </w:tr>
    </w:tbl>
    <w:p/>
    <w:p/>
    <w:p>
      <w:pPr>
        <w:pStyle w:val="Heading2"/>
      </w:pPr>
      <w:r>
        <w:rPr>
          <w:color w:val="1B4332"/>
        </w:rPr>
        <w:t>II | Indicadores operacionalizables extraídos</w:t>
      </w:r>
    </w:p>
    <w:tbl>
      <w:tblPr>
        <w:tblStyle w:val="TableGrid"/>
        <w:tblW w:type="auto" w:w="0"/>
        <w:tblLook w:firstColumn="1" w:firstRow="1" w:lastColumn="0" w:lastRow="0" w:noHBand="0" w:noVBand="1" w:val="04A0"/>
      </w:tblPr>
      <w:tblGrid>
        <w:gridCol w:w="9406"/>
      </w:tblGrid>
      <w:tr>
        <w:tc>
          <w:tcPr>
            <w:tcW w:type="dxa" w:w="9406"/>
            <w:shd w:val="clear" w:color="auto" w:fill="E3F2FD"/>
          </w:tcPr>
          <w:p/>
          <w:p>
            <w:r>
              <w:rPr>
                <w:b/>
                <w:color w:val="1B4332"/>
                <w:sz w:val="20"/>
              </w:rPr>
              <w:t>Indicadores para instrumento de medición</w:t>
            </w:r>
          </w:p>
          <w:p/>
        </w:tc>
      </w:tr>
    </w:tbl>
    <w:p/>
    <w:p>
      <w:pPr>
        <w:pStyle w:val="Heading2"/>
      </w:pPr>
      <w:r>
        <w:rPr>
          <w:color w:val="1B4332"/>
        </w:rPr>
        <w:t>III | Variables, escalas e ítems de encuesta</w:t>
      </w:r>
    </w:p>
    <w:tbl>
      <w:tblPr>
        <w:tblStyle w:val="TableGrid"/>
        <w:tblW w:type="auto" w:w="0"/>
        <w:tblLook w:firstColumn="1" w:firstRow="1" w:lastColumn="0" w:lastRow="0" w:noHBand="0" w:noVBand="1" w:val="04A0"/>
      </w:tblPr>
      <w:tblGrid>
        <w:gridCol w:w="9406"/>
      </w:tblGrid>
      <w:tr>
        <w:tc>
          <w:tcPr>
            <w:tcW w:type="dxa" w:w="9406"/>
            <w:shd w:val="clear" w:color="auto" w:fill="F3E5F5"/>
          </w:tcPr>
          <w:p/>
          <w:p>
            <w:r>
              <w:rPr>
                <w:b/>
                <w:color w:val="1B4332"/>
                <w:sz w:val="20"/>
              </w:rPr>
              <w:t>Ítems extraíbles para instrumento Rionegro</w:t>
            </w:r>
          </w:p>
          <w:p/>
        </w:tc>
      </w:tr>
    </w:tbl>
    <w:p/>
    <w:p>
      <w:pPr>
        <w:pStyle w:val="Heading2"/>
      </w:pPr>
      <w:r>
        <w:rPr>
          <w:color w:val="1B4332"/>
        </w:rPr>
        <w:t>IV | Intervenciones de Capacity Building</w:t>
      </w:r>
    </w:p>
    <w:tbl>
      <w:tblPr>
        <w:tblStyle w:val="TableGrid"/>
        <w:tblW w:type="auto" w:w="0"/>
        <w:tblLook w:firstColumn="1" w:firstRow="1" w:lastColumn="0" w:lastRow="0" w:noHBand="0" w:noVBand="1" w:val="04A0"/>
      </w:tblPr>
      <w:tblGrid>
        <w:gridCol w:w="9406"/>
      </w:tblGrid>
      <w:tr>
        <w:tc>
          <w:tcPr>
            <w:tcW w:type="dxa" w:w="9406"/>
            <w:shd w:val="clear" w:color="auto" w:fill="FFF3E0"/>
          </w:tcPr>
          <w:p/>
          <w:p/>
        </w:tc>
      </w:tr>
    </w:tbl>
    <w:p/>
    <w:p>
      <w:pPr>
        <w:pStyle w:val="Heading2"/>
      </w:pPr>
      <w:r>
        <w:rPr>
          <w:color w:val="1B4332"/>
        </w:rPr>
        <w:t>V | Cadena causal: Intervención → Capacidad</w:t>
      </w:r>
    </w:p>
    <w:tbl>
      <w:tblPr>
        <w:tblStyle w:val="TableGrid"/>
        <w:tblW w:type="auto" w:w="0"/>
        <w:tblLook w:firstColumn="1" w:firstRow="1" w:lastColumn="0" w:lastRow="0" w:noHBand="0" w:noVBand="1" w:val="04A0"/>
      </w:tblPr>
      <w:tblGrid>
        <w:gridCol w:w="9406"/>
      </w:tblGrid>
      <w:tr>
        <w:tc>
          <w:tcPr>
            <w:tcW w:type="dxa" w:w="9406"/>
            <w:shd w:val="clear" w:color="auto" w:fill="FCE4EC"/>
          </w:tcPr>
          <w:p/>
          <w:p>
            <w:r>
              <w:rPr>
                <w:b/>
                <w:color w:val="1B4332"/>
                <w:sz w:val="20"/>
              </w:rPr>
              <w:t>Intervención → Mecanismo → Celda → Moderador</w:t>
            </w:r>
          </w:p>
          <w:p/>
        </w:tc>
      </w:tr>
    </w:tbl>
    <w:p/>
    <w:p>
      <w:pPr>
        <w:pStyle w:val="Heading2"/>
      </w:pPr>
      <w:r>
        <w:rPr>
          <w:color w:val="1B4332"/>
        </w:rPr>
        <w:t>VI | Condiciones estructurales (facilitadoras/inhibidoras)</w:t>
      </w:r>
    </w:p>
    <w:p/>
    <w:p>
      <w:pPr>
        <w:pStyle w:val="Heading2"/>
      </w:pPr>
      <w:r>
        <w:rPr>
          <w:color w:val="1B4332"/>
        </w:rPr>
        <w:t>VII | Comparabilidad contextual con Rionegro</w:t>
      </w:r>
    </w:p>
    <w:p>
      <w:pPr>
        <w:pStyle w:val="Heading2"/>
      </w:pPr>
      <w:r>
        <w:rPr>
          <w:color w:val="1B4332"/>
        </w:rPr>
        <w:t>VIII | Conexión con las 4 preguntas empíricas</w:t>
      </w:r>
    </w:p>
    <w:p>
      <w:pPr>
        <w:pStyle w:val="Heading2"/>
      </w:pPr>
      <w:r>
        <w:rPr>
          <w:color w:val="1B4332"/>
        </w:rPr>
        <w:t>IX | Citas estratégicas categorizadas</w:t>
      </w:r>
    </w:p>
    <w:p>
      <w:pPr>
        <w:pStyle w:val="Heading3"/>
      </w:pPr>
      <w:r>
        <w:rPr>
          <w:color w:val="4A148C"/>
        </w:rPr>
        <w:t>Para Marco Teórico</w:t>
      </w:r>
    </w:p>
    <w:p>
      <w:pPr>
        <w:pStyle w:val="Heading3"/>
      </w:pPr>
      <w:r>
        <w:rPr>
          <w:color w:val="0D47A1"/>
        </w:rPr>
        <w:t>Para Metodología</w:t>
      </w:r>
    </w:p>
    <w:p>
      <w:pPr>
        <w:pStyle w:val="Heading3"/>
      </w:pPr>
      <w:r>
        <w:rPr>
          <w:color w:val="BF360C"/>
        </w:rPr>
        <w:t>Para Discusión</w:t>
      </w:r>
    </w:p>
    <w:p>
      <w:pPr>
        <w:pStyle w:val="Heading2"/>
      </w:pPr>
      <w:r>
        <w:rPr>
          <w:color w:val="1B4332"/>
        </w:rPr>
        <w:t>X | Vacíos estratégicos</w:t>
      </w:r>
    </w:p>
    <w:p/>
    <w:p>
      <w:pPr>
        <w:pStyle w:val="Heading2"/>
      </w:pPr>
      <w:r>
        <w:rPr>
          <w:color w:val="1B4332"/>
        </w:rPr>
        <w:t>XI | Evaluación final estratégica</w:t>
      </w:r>
    </w:p>
    <w:p>
      <w:r>
        <w:rPr>
          <w:b/>
          <w:color w:val="1B4332"/>
          <w:sz w:val="22"/>
        </w:rPr>
        <w:t xml:space="preserve">● CLASIFICACIÓN: </w:t>
      </w:r>
    </w:p>
    <w:tbl>
      <w:tblPr>
        <w:tblStyle w:val="TableGrid"/>
        <w:tblW w:type="auto" w:w="0"/>
        <w:tblLook w:firstColumn="1" w:firstRow="1" w:lastColumn="0" w:lastRow="0" w:noHBand="0" w:noVBand="1" w:val="04A0"/>
      </w:tblPr>
      <w:tblGrid>
        <w:gridCol w:w="9406"/>
      </w:tblGrid>
      <w:tr>
        <w:tc>
          <w:tcPr>
            <w:tcW w:type="dxa" w:w="9406"/>
            <w:shd w:val="clear" w:color="auto" w:fill="FFF8E1"/>
          </w:tcPr>
          <w:p/>
          <w:p/>
        </w:tc>
      </w:tr>
    </w:tbl>
    <w:p/>
    <w:p>
      <w:pPr>
        <w:jc w:val="right"/>
      </w:pPr>
      <w:r>
        <w:rPr>
          <w:i/>
          <w:color w:val="999999"/>
          <w:sz w:val="16"/>
        </w:rPr>
        <w:t>Ficha generada automáticamente · 09/04/2026 · Proyecto Capacidades Rionegro · PCF Wu et al. · v2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