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Bandelow, N. C., Hornung, J., &amp; Schröder, I. (2025). Policy design, diffusion, and policy instrument attitudes. Review of Policy Research, 42(4), [páginas no disponibles]. https://doi.org/[DOI no disponible]</w:t>
      </w:r>
    </w:p>
    <w:p>
      <w:pPr>
        <w:jc w:val="center"/>
      </w:pPr>
      <w:r>
        <w:rPr>
          <w:b/>
          <w:color w:val="E65100"/>
          <w:sz w:val="22"/>
        </w:rPr>
        <w:t>● IMPORTANTE ● Puntaje matriz: 19/27</w:t>
      </w:r>
    </w:p>
    <w:p/>
    <w:p>
      <w:pPr>
        <w:pStyle w:val="Heading1"/>
      </w:pPr>
      <w:r>
        <w:rPr>
          <w:color w:val="1B4332"/>
        </w:rPr>
        <w:t>PARTE I — FICHA GENÉRICA DEL ARTÍCULO</w:t>
      </w:r>
    </w:p>
    <w:p>
      <w:pPr>
        <w:pStyle w:val="Heading2"/>
      </w:pPr>
      <w:r>
        <w:rPr>
          <w:color w:val="1B4332"/>
        </w:rPr>
        <w:t>1 | Referencia bibliográfica (APA 7)</w:t>
      </w:r>
    </w:p>
    <w:p>
      <w:r>
        <w:rPr>
          <w:sz w:val="20"/>
        </w:rPr>
        <w:t>Bandelow, N. C., Hornung, J., &amp; Schröder, I. (2025). Policy design, diffusion, and policy instrument attitudes. Review of Policy Research, 42(4), [páginas no disponibles]. https://doi.org/[DOI no disponible]</w:t>
      </w:r>
    </w:p>
    <w:p>
      <w:pPr>
        <w:pStyle w:val="Heading2"/>
      </w:pPr>
      <w:r>
        <w:rPr>
          <w:color w:val="1B4332"/>
        </w:rPr>
        <w:t>2 | Objetivo explícito del autor</w:t>
      </w:r>
    </w:p>
    <w:p>
      <w:r>
        <w:rPr>
          <w:sz w:val="20"/>
        </w:rPr>
        <w:t>Este número especial examina cómo los formuladores de políticas deciden implementar instrumentos de política específicos y cómo el público responde a diferentes diseños de políticas. El objetivo es analizar tanto los factores que influyen en las decisiones gubernamentales como las consecuencias distributivas y de aceptación pública de los instrumentos de política.</w:t>
      </w:r>
    </w:p>
    <w:p>
      <w:pPr>
        <w:ind w:left="567" w:right="567"/>
      </w:pPr>
      <w:r>
        <w:rPr>
          <w:i/>
          <w:color w:val="444444"/>
          <w:sz w:val="19"/>
        </w:rPr>
        <w:t>""How do policymakers decide whether and which policy to implement and how does the public respond to different policy instruments?" (p. 1)"</w:t>
      </w:r>
    </w:p>
    <w:p>
      <w:pPr>
        <w:pStyle w:val="Heading2"/>
      </w:pPr>
      <w:r>
        <w:rPr>
          <w:color w:val="1B4332"/>
        </w:rPr>
        <w:t>3 | Pregunta de investigación</w:t>
      </w:r>
    </w:p>
    <w:p>
      <w:pPr>
        <w:ind w:left="567" w:right="567"/>
      </w:pPr>
      <w:r>
        <w:rPr>
          <w:i/>
          <w:color w:val="444444"/>
          <w:sz w:val="19"/>
        </w:rPr>
        <w:t>"¿Cómo deciden los formuladores de políticas si implementar políticas específicas y cuáles, y cómo responde el público a diferentes instrumentos de política? (p. 1)"</w:t>
      </w:r>
    </w:p>
    <w:p>
      <w:pPr>
        <w:pStyle w:val="Heading2"/>
      </w:pPr>
      <w:r>
        <w:rPr>
          <w:color w:val="1B4332"/>
        </w:rPr>
        <w:t>4 | Tesis central</w:t>
      </w:r>
    </w:p>
    <w:p>
      <w:r>
        <w:rPr>
          <w:sz w:val="20"/>
        </w:rPr>
        <w:t>La efectividad de las políticas públicas depende de configuraciones institucionales complejas más que de factores aislados. La difusión de políticas ocurre tanto horizontal (entre jurisdicciones) como verticalmente (path dependence), influenciada por capacidad institucional, aprendizaje estratégico y compatibilidad normativa. Los ciudadanos tienen preferencias autónomas hacia instrumentos de política que son parcialmente independientes del problema específico, pero estas actitudes están moderadas por factores políticos y contextuales.</w:t>
      </w:r>
    </w:p>
    <w:p>
      <w:pPr>
        <w:ind w:left="567" w:right="567"/>
      </w:pPr>
      <w:r>
        <w:rPr>
          <w:i/>
          <w:color w:val="444444"/>
          <w:sz w:val="19"/>
        </w:rPr>
        <w:t>""Policy effectiveness is shaped by institutional configurations rather than isolated drivers" (p. [no disponible])"</w:t>
      </w:r>
    </w:p>
    <w:p>
      <w:pPr>
        <w:pStyle w:val="Heading2"/>
      </w:pPr>
      <w:r>
        <w:rPr>
          <w:color w:val="1B4332"/>
        </w:rPr>
        <w:t>5 | Marco teórico utilizado</w:t>
      </w:r>
    </w:p>
    <w:p>
      <w:r>
        <w:rPr>
          <w:sz w:val="20"/>
        </w:rPr>
        <w:t>1. Teoría de difusión de políticas (Rogers, 1983; Marsh y Sharman, 2009) - transferencia horizontal y vertical de innovaciones</w:t>
        <w:br/>
        <w:t>2. Institucionalismo histórico y path dependency (Beyer, 2010; Pierson, 2014) - influencia de políticas previas</w:t>
        <w:br/>
        <w:t>3. Marco de capacidad de política multinivel (Wu et al., 2015) - capacidades analítica, regulatoria, de entrega y movilización</w:t>
        <w:br/>
        <w:t>4. Teoría de aprendizaje de políticas (Dunlop et al., 2018) - aprendizaje instrumental y político</w:t>
        <w:br/>
        <w:t>5. Teoría de compatibilidad de políticas - alineación normativa y operacional</w:t>
        <w:br/>
        <w:t>6. Autonomía de Actitudes hacia Instrumentos de Política (APIA) - preferencias ciudadanas independientes</w:t>
      </w:r>
    </w:p>
    <w:p>
      <w:pPr>
        <w:pStyle w:val="Heading2"/>
      </w:pPr>
      <w:r>
        <w:rPr>
          <w:color w:val="1B4332"/>
        </w:rPr>
        <w:t>7 | Conceptos clave</w:t>
      </w:r>
    </w:p>
    <w:p>
      <w:r>
        <w:rPr>
          <w:sz w:val="20"/>
        </w:rPr>
        <w:t>1. **Capacidad de política**: Habilidad gubernamental para movilizar recursos analíticos, regulatorios, de entrega y coordinación (p. [no disponible])</w:t>
        <w:br/>
        <w:t>2. **Difusión de políticas**: Transferencia de innovaciones de política entre jurisdicciones a través de aprendizaje e imitación (p. 1)</w:t>
        <w:br/>
        <w:t>3. **Compatibilidad normativa**: Alineación de metas y valores subyacentes entre políticas nuevas y existentes (p. [no disponible])</w:t>
        <w:br/>
        <w:t>4. **Compatibilidad operacional**: Adecuación de nuevas políticas al paisaje regulatorio existente del estado (p. [no disponible])</w:t>
        <w:br/>
        <w:t>5. **Aprendizaje instrumental**: Ajustes de política basados en evidencia técnica y indicadores de desempeño (p. [no disponible])</w:t>
        <w:br/>
        <w:t>6. **Aprendizaje político**: Cambios de política motivados por consideraciones electorales y presión pública (p. [no disponible])</w:t>
        <w:br/>
        <w:t>7. **APIA (Autonomía de Actitudes hacia Instrumentos de Política)**: Preferencias ciudadanas específicas por tipos de instrumentos independientes del problema (p. [no disponible])</w:t>
      </w:r>
    </w:p>
    <w:p>
      <w:pPr>
        <w:pStyle w:val="Heading2"/>
      </w:pPr>
      <w:r>
        <w:rPr>
          <w:color w:val="1B4332"/>
        </w:rPr>
        <w:t>8 | Reconstrucción analítica del argumento</w:t>
      </w:r>
    </w:p>
    <w:p>
      <w:r>
        <w:rPr>
          <w:sz w:val="20"/>
        </w:rPr>
        <w:t>Los estudios demuestran que la efectividad de políticas resulta de configuraciones institucionales específicas combinando capacidad analítica, regulatoria y de movilización. La difusión horizontal ocurre cuando hay alineación ideológica ciudadana y aprendizaje estratégico de jurisdicciones vecinas. El path dependency opera cuando nuevas políticas son normativamente compatibles con marcos existentes. Durante crisis, ninguna capacidad individual es suficiente, requiriendo complementariedad funcional. Hallazgo no esperado: el control partidario no predice significativamente la adopción de políticas como net metering.</w:t>
      </w:r>
    </w:p>
    <w:p>
      <w:pPr>
        <w:pStyle w:val="Heading2"/>
      </w:pPr>
      <w:r>
        <w:rPr>
          <w:color w:val="1B4332"/>
        </w:rPr>
        <w:t>10 | Aportes principales</w:t>
      </w:r>
    </w:p>
    <w:p>
      <w:r>
        <w:rPr>
          <w:sz w:val="20"/>
        </w:rPr>
        <w:t>1. Operacionalización de compatibilidad de políticas distinguiendo dimensiones normativas y operacionales</w:t>
        <w:br/>
        <w:t>2. Demostración empírica de configuraciones causales múltiples para efectividad en gestión de crisis</w:t>
        <w:br/>
        <w:t>3. Evidencia de que actitudes hacia instrumentos tienen autonomía parcial pero limitada poder predictivo</w:t>
        <w:br/>
        <w:t>4. Identificación de nueve trayectorias distintas hacia reinvención de políticas en contextos subnacionales</w:t>
      </w:r>
    </w:p>
    <w:p>
      <w:pPr>
        <w:pStyle w:val="Heading2"/>
      </w:pPr>
      <w:r>
        <w:rPr>
          <w:color w:val="1B4332"/>
        </w:rPr>
        <w:t>11 | Limitaciones</w:t>
      </w:r>
    </w:p>
    <w:p>
      <w:r>
        <w:rPr>
          <w:sz w:val="20"/>
        </w:rPr>
        <w:t>1. Poder predictivo relativamente bajo del concepto APIA requiere investigación adicional sobre medición</w:t>
        <w:br/>
        <w:t>2. Necesidad de replicar análisis usando datasets alternativos como Sustainable Governance Indicators</w:t>
        <w:br/>
        <w:t>3. Enfoque limitado a contextos específicos (principalmente EE.UU. y China) limita generalización</w:t>
        <w:br/>
        <w:t>4. Algunos estudios requieren períodos de observación más largos para capturar efectos de largo plazo</w:t>
      </w:r>
    </w:p>
    <w:p>
      <w:pPr>
        <w:pStyle w:val="Heading2"/>
      </w:pPr>
      <w:r>
        <w:rPr>
          <w:color w:val="1B4332"/>
        </w:rPr>
        <w:t>12 | Conexión con debates mayores</w:t>
      </w:r>
    </w:p>
    <w:p>
      <w:r>
        <w:rPr>
          <w:sz w:val="20"/>
        </w:rPr>
        <w:t>El número especial conecta con debates sobre descentralización al examinar difusión subnacional, state capacity a través del marco de Wu et al. sobre capacidades diferenciadas, y gobernanza multinivel mediante análisis de transferencia vertical y horizontal de políticas. Contribuye al debate NPM versus capacidad estatal mostrando que efectividad requiere configuraciones institucionales específicas más que reformas gerenciales aisladas.</w:t>
      </w:r>
    </w:p>
    <w:p>
      <w:pPr>
        <w:pStyle w:val="Heading2"/>
      </w:pPr>
      <w:r>
        <w:rPr>
          <w:color w:val="1B4332"/>
        </w:rPr>
        <w:t>13 | Observaciones críticas propias</w:t>
      </w:r>
    </w:p>
    <w:p>
      <w:r>
        <w:rPr>
          <w:sz w:val="20"/>
        </w:rPr>
        <w:t>Existe tensión no resuelta entre enfoque en configuraciones institucionales complejas y búsqueda de generalizaciones causales parsimoniosas. Los autores asumen que aprendizaje estratégico es inherentemente beneficioso sin problematizar posibles efectos negativos de imitación acrítica. Se sugiere explorar mecanismos causales subyacentes que explican por qué ciertas configuraciones son efectivas en contextos específicos.</w:t>
      </w:r>
    </w:p>
    <w:p>
      <w:pPr>
        <w:pStyle w:val="Heading2"/>
      </w:pPr>
      <w:r>
        <w:rPr>
          <w:color w:val="1B4332"/>
        </w:rPr>
        <w:t>6 | Tipo de investigación y metodología</w:t>
      </w:r>
    </w:p>
    <w:p>
      <w:r>
        <w:rPr>
          <w:b/>
          <w:sz w:val="20"/>
        </w:rPr>
        <w:t xml:space="preserve">Diseño: </w:t>
      </w:r>
      <w:r>
        <w:rPr>
          <w:sz w:val="20"/>
        </w:rPr>
        <w:t>Número especial con múltiples estudios empíricos</w:t>
      </w:r>
    </w:p>
    <w:p>
      <w:r>
        <w:rPr>
          <w:b/>
          <w:sz w:val="20"/>
        </w:rPr>
        <w:t xml:space="preserve">Universo: </w:t>
      </w:r>
      <w:r>
        <w:rPr>
          <w:sz w:val="20"/>
        </w:rPr>
        <w:t>Gobiernos subnacionales y ciudadanos en diversos contextos</w:t>
      </w:r>
    </w:p>
    <w:p>
      <w:r>
        <w:rPr>
          <w:b/>
          <w:sz w:val="20"/>
        </w:rPr>
        <w:t xml:space="preserve">Muestra: </w:t>
      </w:r>
      <w:r>
        <w:rPr>
          <w:sz w:val="20"/>
        </w:rPr>
        <w:t>Varía por estudio (45 estados de EE.UU., 31 ciudades chinas, 27 provincias chinas, etc.)</w:t>
      </w:r>
    </w:p>
    <w:p>
      <w:r>
        <w:rPr>
          <w:b/>
          <w:sz w:val="20"/>
        </w:rPr>
        <w:t xml:space="preserve">Instrumentos: </w:t>
      </w:r>
      <w:r>
        <w:rPr>
          <w:sz w:val="20"/>
        </w:rPr>
        <w:t>Análisis de texto, encuestas, experimentos de viñetas, análisis GIS</w:t>
      </w:r>
    </w:p>
    <w:p>
      <w:r>
        <w:rPr>
          <w:b/>
          <w:sz w:val="20"/>
        </w:rPr>
        <w:t xml:space="preserve">Variable dependiente: </w:t>
      </w:r>
      <w:r>
        <w:rPr>
          <w:sz w:val="20"/>
        </w:rPr>
        <w:t>Adopción de políticas, efectividad gubernamental, actitudes ciudadanas</w:t>
      </w:r>
    </w:p>
    <w:p>
      <w:r>
        <w:rPr>
          <w:b/>
          <w:sz w:val="20"/>
        </w:rPr>
        <w:t xml:space="preserve">Variables independientes: </w:t>
      </w:r>
      <w:r>
        <w:rPr>
          <w:sz w:val="20"/>
        </w:rPr>
        <w:t>Capacidad institucional, factores de difusión, diseño de instrumentos</w:t>
      </w:r>
    </w:p>
    <w:p>
      <w:r>
        <w:rPr>
          <w:b/>
          <w:sz w:val="20"/>
        </w:rPr>
        <w:t xml:space="preserve">Análisis: </w:t>
      </w:r>
      <w:r>
        <w:rPr>
          <w:sz w:val="20"/>
        </w:rPr>
        <w:t>QCA, análisis de historia de eventos, experimentos conjuntos</w:t>
      </w:r>
    </w:p>
    <w:p>
      <w:r>
        <w:rPr>
          <w:b/>
          <w:sz w:val="20"/>
        </w:rPr>
        <w:t xml:space="preserve">País/Nivel de gobierno: </w:t>
      </w:r>
      <w:r>
        <w:rPr>
          <w:sz w:val="20"/>
        </w:rPr>
        <w:t>Principalmente subnacional (EE.UU., China)</w:t>
      </w:r>
    </w:p>
    <w:p>
      <w:pPr>
        <w:pStyle w:val="Heading2"/>
      </w:pPr>
      <w:r>
        <w:rPr>
          <w:color w:val="1B4332"/>
        </w:rPr>
        <w:t>9 | Evidencia empírica / estadística</w:t>
      </w:r>
    </w:p>
    <w:p>
      <w:r>
        <w:rPr>
          <w:sz w:val="20"/>
        </w:rPr>
        <w:t>Los estudios confirman que la combinación de aprendizaje intergubernamental y competencia entre pares puede impulsar reinvención de políticas incluso con capacidad financiera limitada. Estados con medidas anti-tabaco más comprehensivas adoptaron regulaciones de vapeo más estrictas. Reformas significativas de subsidios ocurren solo cuando gobernanza democrática se combina con fuerte capacidad institucional. Información concreta sobre reciclaje fue más efectiva que mensajes abstractos independientemente del contexto social.</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número especial demuestra que la efectividad de políticas públicas emerge de configuraciones institucionales específicas que combinan múltiples tipos de capacidad gubernamental, compatibilidad con marcos normativos existentes, y procesos de aprendizaje adaptativo. La difusión de políticas opera tanto horizontal como verticalmente, influenciada por factores contextuales locales más que por control partidario simple. Las actitudes ciudadanas hacia instrumentos de política muestran autonomía parcial pero están moderadas por consideraciones políticas y de diseño. Los hallazgos sugieren que formuladores de políticas deben considerar complementariedades funcionales entre capacidades institucionales y compatibilidad con marcos existentes. La investigación contribuye significativamente a la comprensión de cómo el diseño institucional determina la capacidad de respuesta y resilencia gubernamental, particularmente relevante para contextos de crisis y transformación de políticas. Las implicaciones se extienden a debates sobre descentralización, construcción de capacidad estatal, y gobernanza multinivel en sistemas políticos contemporáneos.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Desarrolla capacidad analítica individual a través de aprendizaje de políticas y transfere</w:t>
            </w:r>
          </w:p>
        </w:tc>
        <w:tc>
          <w:tcPr>
            <w:tcW w:type="dxa" w:w="2351"/>
            <w:shd w:val="clear" w:color="auto" w:fill="FFF9C4"/>
          </w:tcPr>
          <w:p>
            <w:r>
              <w:rPr>
                <w:b/>
                <w:color w:val="F57F17"/>
                <w:sz w:val="16"/>
              </w:rPr>
              <w:t xml:space="preserve">[1] </w:t>
            </w:r>
            <w:r>
              <w:rPr>
                <w:sz w:val="14"/>
              </w:rPr>
              <w:t>Mención tangencial de liderazgo gubernamental en gestión de crisis y reformas de subsidios</w:t>
            </w:r>
          </w:p>
        </w:tc>
        <w:tc>
          <w:tcPr>
            <w:tcW w:type="dxa" w:w="2351"/>
            <w:shd w:val="clear" w:color="auto" w:fill="C8E6C9"/>
          </w:tcPr>
          <w:p>
            <w:r>
              <w:rPr>
                <w:b/>
                <w:color w:val="2E7D32"/>
                <w:sz w:val="16"/>
              </w:rPr>
              <w:t xml:space="preserve">[2] </w:t>
            </w:r>
            <w:r>
              <w:rPr>
                <w:sz w:val="14"/>
              </w:rPr>
              <w:t>Desarrolla concepto de aprendizaje político, negociación en contextos de crisis y alineaci</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Operacionaliza capacidad analítica organizacional con infraestructura de datos, sistemas d</w:t>
            </w:r>
          </w:p>
        </w:tc>
        <w:tc>
          <w:tcPr>
            <w:tcW w:type="dxa" w:w="2351"/>
            <w:shd w:val="clear" w:color="auto" w:fill="2E7D32"/>
          </w:tcPr>
          <w:p>
            <w:r>
              <w:rPr>
                <w:b/>
                <w:color w:val="FFFFFF"/>
                <w:sz w:val="16"/>
              </w:rPr>
              <w:t xml:space="preserve">[3] </w:t>
            </w:r>
            <w:r>
              <w:rPr>
                <w:sz w:val="14"/>
              </w:rPr>
              <w:t>Mide coordinación interna, capacidad de entrega, movilización de recursos y configuracione</w:t>
            </w:r>
          </w:p>
        </w:tc>
        <w:tc>
          <w:tcPr>
            <w:tcW w:type="dxa" w:w="2351"/>
            <w:shd w:val="clear" w:color="auto" w:fill="FFF9C4"/>
          </w:tcPr>
          <w:p>
            <w:r>
              <w:rPr>
                <w:b/>
                <w:color w:val="F57F17"/>
                <w:sz w:val="16"/>
              </w:rPr>
              <w:t xml:space="preserve">[1] </w:t>
            </w:r>
            <w:r>
              <w:rPr>
                <w:sz w:val="14"/>
              </w:rPr>
              <w:t>Referencia tangencial a reputación organizacional y acceso a decisores en procesos de adop</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 xml:space="preserve">Conceptualiza sistemas de información transnacional y difusión horizontal de conocimiento </w:t>
            </w:r>
          </w:p>
        </w:tc>
        <w:tc>
          <w:tcPr>
            <w:tcW w:type="dxa" w:w="2351"/>
            <w:shd w:val="clear" w:color="auto" w:fill="2E7D32"/>
          </w:tcPr>
          <w:p>
            <w:r>
              <w:rPr>
                <w:b/>
                <w:color w:val="FFFFFF"/>
                <w:sz w:val="16"/>
              </w:rPr>
              <w:t xml:space="preserve">[3] </w:t>
            </w:r>
            <w:r>
              <w:rPr>
                <w:sz w:val="14"/>
              </w:rPr>
              <w:t>Evidencia empírica robusta sobre relaciones intergubernamentales, marcos regulatorios y tr</w:t>
            </w:r>
          </w:p>
        </w:tc>
        <w:tc>
          <w:tcPr>
            <w:tcW w:type="dxa" w:w="2351"/>
            <w:shd w:val="clear" w:color="auto" w:fill="C8E6C9"/>
          </w:tcPr>
          <w:p>
            <w:r>
              <w:rPr>
                <w:b/>
                <w:color w:val="2E7D32"/>
                <w:sz w:val="16"/>
              </w:rPr>
              <w:t xml:space="preserve">[2] </w:t>
            </w:r>
            <w:r>
              <w:rPr>
                <w:sz w:val="14"/>
              </w:rPr>
              <w:t>Analiza legitimidad democrática, confianza pública y efectividad gubernamental como factor</w:t>
            </w:r>
          </w:p>
        </w:tc>
      </w:tr>
    </w:tbl>
    <w:p/>
    <w:p>
      <w:r>
        <w:rPr>
          <w:sz w:val="18"/>
        </w:rPr>
        <w:t>AI: 2 | Desarrolla capacidad analítica individual a través de aprendizaje de políticas y transferencia de conocimiento entre expertos</w:t>
        <w:br/>
        <w:t>AO: 3 | Operacionaliza capacidad analítica organizacional con infraestructura de datos, sistemas de monitoreo y memoria institucional para crisis</w:t>
        <w:br/>
        <w:t>AS: 2 | Conceptualiza sistemas de información transnacional y difusión horizontal de conocimiento entre jurisdicciones</w:t>
        <w:br/>
        <w:t>OI: 1 | Mención tangencial de liderazgo gubernamental en gestión de crisis y reformas de subsidios</w:t>
        <w:br/>
        <w:t>OO: 3 | Mide coordinación interna, capacidad de entrega, movilización de recursos y configuraciones institucionales múltiples</w:t>
        <w:br/>
        <w:t>OS: 3 | Evidencia empírica robusta sobre relaciones intergubernamentales, marcos regulatorios y transferencia vertical de políticas</w:t>
        <w:br/>
        <w:t>PI: 2 | Desarrolla concepto de aprendizaje político, negociación en contextos de crisis y alineación ideológica ciudadana</w:t>
        <w:br/>
        <w:t>PO: 1 | Referencia tangencial a reputación organizacional y acceso a decisores en procesos de adopción</w:t>
        <w:br/>
        <w:t>PS: 2 | Analiza legitimidad democrática, confianza pública y efectividad gubernamental como factores de sostenibilidad</w:t>
        <w:br/>
        <w:t>CELDAS_PRINCIPALES: AO, OO, OS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 Indicador: Tasa de letalidad por COVID-19 como proxy de efectividad en manejo de crisis</w:t>
              <w:br/>
              <w:t xml:space="preserve">  Celda: OO</w:t>
              <w:br/>
              <w:t xml:space="preserve">  Tipo: Cuantitativo</w:t>
              <w:br/>
              <w:t xml:space="preserve">  Fuente: Registro administrativo</w:t>
              <w:br/>
              <w:t xml:space="preserve">  Adaptable a Rionegro: Sí con ajustes</w:t>
              <w:br/>
              <w:t xml:space="preserve">  Página: No disponible</w:t>
              <w:br/>
              <w:br/>
              <w:t>- Indicador: Tiempo de respuesta regulatoria temprana en emergencias</w:t>
              <w:br/>
              <w:t xml:space="preserve">  Celda: OS</w:t>
              <w:br/>
              <w:t xml:space="preserve">  Tipo: Cuantitativo</w:t>
              <w:br/>
              <w:t xml:space="preserve">  Fuente: Análisis documental de legislación</w:t>
              <w:br/>
              <w:t xml:space="preserve">  Adaptable a Rionegro: Sí directo</w:t>
              <w:br/>
              <w:t xml:space="preserve">  Página: No disponible</w:t>
              <w:br/>
              <w:br/>
              <w:t>- Indicador: Capacidad de movilización de recursos inter-agenciales</w:t>
              <w:br/>
              <w:t xml:space="preserve">  Celda: OO</w:t>
              <w:br/>
              <w:t xml:space="preserve">  Tipo: Mixto</w:t>
              <w:br/>
              <w:t xml:space="preserve">  Fuente: Análisis de configuraciones causales (QCA)</w:t>
              <w:br/>
              <w:t xml:space="preserve">  Adaptable a Rionegro: Sí con ajustes</w:t>
              <w:br/>
              <w:t xml:space="preserve">  Página: No disponible</w:t>
              <w:br/>
              <w:br/>
              <w:t>- Indicador: Indicadores de Gobernanza Mundial del Banco Mundial (WGI)</w:t>
              <w:br/>
              <w:t xml:space="preserve">  Celda: OS</w:t>
              <w:br/>
              <w:t xml:space="preserve">  Tipo: Cuantitativo</w:t>
              <w:br/>
              <w:t xml:space="preserve">  Fuente: Índice compuesto</w:t>
              <w:br/>
              <w:t xml:space="preserve">  Adaptable a Rionegro: No (nivel subnacional)</w:t>
              <w:br/>
              <w:t xml:space="preserve">  Página: No disponible</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Sistemas de clasificación de residuos sólidos estandarizados, marcos regulatorios de medición neta, protocolos de respuesta temprana a crisis</w:t>
              <w:br/>
              <w:t>ANCLAJE BLANDO: Transferencia de conocimiento científico, cultivo adaptativo de nichos de aprendizaje, colaboración experto-formulador de políticas, aprendizaje estratégico de jurisdicciones vecinas</w:t>
              <w:br/>
              <w:t>REFORMA ESTRUCTURAL: Desarrollo de sistemas de financiamiento científico, reforma de subsidios ineficientes, fortalecimiento de capacidad institucional democrática</w:t>
              <w:br/>
              <w:t>OTRO: Experimentación piloto en "ciudades piloto" chinas, reinvención de políticas transferidas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Compatibilidad normativa y operacional de políticas → alineación con estructuras institucionales existentes → adopción de regulaciones coherentes (OS) → moderado por path dependence institucional</w:t>
              <w:br/>
              <w:br/>
              <w:t>Capacidad institucional + régimen democrático → legitimidad para reformas → eliminación de subsidios ineficientes (PS) → moderado por presión ciudadana</w:t>
              <w:br/>
              <w:br/>
              <w:t>Aprendizaje instrumental de indicadores de salud → actualización de evaluaciones de riesgo → fortalecimiento de restricciones (AI) → moderado por capacidad analítica previa</w:t>
              <w:br/>
              <w:br/>
              <w:t>Configuraciones múltiples de capacidad (analítica + movilización + entrega) → coordinación inter-agencial efectiva → respuesta exitosa a crisis (OO) → moderado por recursos disponibles</w:t>
              <w:br/>
              <w:br/>
              <w:t>Difusión horizontal entre jurisdicciones → imitación estratégica de políticas → adopción de innovaciones (AS) → moderado por compatibilidad contextual</w:t>
            </w:r>
          </w:p>
        </w:tc>
      </w:tr>
    </w:tbl>
    <w:p/>
    <w:p>
      <w:pPr>
        <w:pStyle w:val="Heading2"/>
      </w:pPr>
      <w:r>
        <w:rPr>
          <w:color w:val="1B4332"/>
        </w:rPr>
        <w:t>VI | Condiciones estructurales (facilitadoras/inhibidoras)</w:t>
      </w:r>
    </w:p>
    <w:p>
      <w:r>
        <w:rPr>
          <w:sz w:val="20"/>
        </w:rPr>
        <w:t>FACILITADORES:</w:t>
        <w:br/>
        <w:t>- Alineación ideológica ciudadana: Facilita difusión de políticas ambientales como medición neta de energía</w:t>
        <w:br/>
        <w:t>- Legislaturas bipartidistas: Reducen polarización y favorecen adopción de políticas técnicas</w:t>
        <w:br/>
        <w:t>- Capacidad institucional fuerte: Necesaria para reformas exitosas cuando se combina con democracia</w:t>
        <w:br/>
        <w:t>- Aprendizaje de jurisdicciones vecinas: Reduce costos de información y experimentación</w:t>
        <w:br/>
        <w:br/>
        <w:t>INHIBIDORES:</w:t>
        <w:br/>
        <w:t>- Dependencia de trayectoria (path dependence): Limita innovación y favorece alineación con políticas previas</w:t>
        <w:br/>
        <w:t>- Baja capacidad institucional: Impide reformas efectivas independientemente del régimen político</w:t>
        <w:br/>
        <w:t>- Rotación gubernamental: Interrumpe procesos de aprendizaje y transferencia de conocimiento</w:t>
        <w:br/>
        <w:t>- Recursos financieros limitados: Requiere compensación con otros factores como competencia inter-jurisdiccional</w:t>
      </w:r>
    </w:p>
    <w:p>
      <w:pPr>
        <w:pStyle w:val="Heading2"/>
      </w:pPr>
      <w:r>
        <w:rPr>
          <w:color w:val="1B4332"/>
        </w:rPr>
        <w:t>VII | Comparabilidad contextual con Rionegro</w:t>
      </w:r>
    </w:p>
    <w:p>
      <w:r>
        <w:rPr>
          <w:b/>
          <w:sz w:val="20"/>
        </w:rPr>
        <w:t xml:space="preserve">País: </w:t>
      </w:r>
      <w:r>
        <w:rPr>
          <w:sz w:val="20"/>
        </w:rPr>
        <w:t>Estados Unidos, China</w:t>
      </w:r>
    </w:p>
    <w:p>
      <w:r>
        <w:rPr>
          <w:b/>
          <w:sz w:val="20"/>
        </w:rPr>
        <w:t xml:space="preserve">Nivel de gobierno: </w:t>
      </w:r>
      <w:r>
        <w:rPr>
          <w:sz w:val="20"/>
        </w:rPr>
        <w:t>Estatal-departamental y municipal</w:t>
      </w:r>
    </w:p>
    <w:p>
      <w:r>
        <w:rPr>
          <w:b/>
          <w:sz w:val="20"/>
        </w:rPr>
        <w:t xml:space="preserve">Tamaño del gobierno: </w:t>
      </w:r>
      <w:r>
        <w:rPr>
          <w:sz w:val="20"/>
        </w:rPr>
        <w:t>Mixto (desde municipios medianos hasta provincias grandes)</w:t>
      </w:r>
    </w:p>
    <w:p>
      <w:r>
        <w:rPr>
          <w:b/>
          <w:sz w:val="20"/>
        </w:rPr>
        <w:t xml:space="preserve">Ingreso/Categoría fiscal: </w:t>
      </w:r>
      <w:r>
        <w:rPr>
          <w:sz w:val="20"/>
        </w:rPr>
        <w:t>Mixto (alto en EE.UU., medio en China)</w:t>
      </w:r>
    </w:p>
    <w:p>
      <w:r>
        <w:rPr>
          <w:b/>
          <w:sz w:val="20"/>
        </w:rPr>
        <w:t xml:space="preserve">Tipo de régimen burocrático: </w:t>
      </w:r>
      <w:r>
        <w:rPr>
          <w:sz w:val="20"/>
        </w:rPr>
        <w:t>Weberiano en EE.UU., híbrido autoritario-burocrático en China</w:t>
      </w:r>
    </w:p>
    <w:p>
      <w:r>
        <w:rPr>
          <w:b/>
          <w:sz w:val="20"/>
        </w:rPr>
        <w:t xml:space="preserve">Sector de política: </w:t>
      </w:r>
      <w:r>
        <w:rPr>
          <w:sz w:val="20"/>
        </w:rPr>
        <w:t>Transversal (energía, residuos, salud, subsidios)</w:t>
      </w:r>
    </w:p>
    <w:p>
      <w:r>
        <w:rPr>
          <w:b/>
          <w:sz w:val="20"/>
        </w:rPr>
        <w:t xml:space="preserve">Comparabilidad con Rionegro: </w:t>
      </w:r>
      <w:r>
        <w:rPr>
          <w:sz w:val="20"/>
        </w:rPr>
        <w:t>Media</w:t>
      </w:r>
    </w:p>
    <w:p>
      <w:r>
        <w:rPr>
          <w:b/>
          <w:sz w:val="20"/>
        </w:rPr>
        <w:t xml:space="preserve">Justificación: </w:t>
      </w:r>
      <w:r>
        <w:rPr>
          <w:sz w:val="20"/>
        </w:rPr>
        <w:t>Contextos institucionales diferentes pero lecciones sobre difusión y configuraciones causales aplicables a gobiernos subnacionales</w:t>
      </w:r>
    </w:p>
    <w:p>
      <w:pPr>
        <w:pStyle w:val="Heading2"/>
      </w:pPr>
      <w:r>
        <w:rPr>
          <w:color w:val="1B4332"/>
        </w:rPr>
        <w:t>VIII | Conexión con las 4 preguntas empíricas</w:t>
      </w:r>
    </w:p>
    <w:p>
      <w:r>
        <w:rPr>
          <w:sz w:val="20"/>
        </w:rPr>
        <w:t>P1 — Anclaje duro → nivel organizacional: Sistemas estandarizados de clasificación y protocolos normativos muestran mayor efecto en coordinación organizacional</w:t>
      </w:r>
      <w:r>
        <w:rPr>
          <w:b/>
          <w:color w:val="2E7D32"/>
          <w:sz w:val="20"/>
        </w:rPr>
        <w:t xml:space="preserve">  →  Soporta</w:t>
      </w:r>
    </w:p>
    <w:p>
      <w:r>
        <w:rPr>
          <w:sz w:val="20"/>
        </w:rPr>
        <w:t>P2 — Intervenciones blandas → individual/político: Aprendizaje de políticas y transferencia de conocimiento muestran mayor tracción en capacidad analítica individual</w:t>
      </w:r>
      <w:r>
        <w:rPr>
          <w:b/>
          <w:color w:val="2E7D32"/>
          <w:sz w:val="20"/>
        </w:rPr>
        <w:t xml:space="preserve">  →  Soporta</w:t>
      </w:r>
    </w:p>
    <w:p>
      <w:r>
        <w:rPr>
          <w:sz w:val="20"/>
        </w:rPr>
        <w:t>P3 — Inercia dimensional → restricciones estructurales: Path dependence y compatibilidad institucional limitan innovación independientemente de intervenciones</w:t>
      </w:r>
      <w:r>
        <w:rPr>
          <w:b/>
          <w:color w:val="2E7D32"/>
          <w:sz w:val="20"/>
        </w:rPr>
        <w:t xml:space="preserve">  →  Soporta</w:t>
      </w:r>
    </w:p>
    <w:p>
      <w:r>
        <w:rPr>
          <w:sz w:val="20"/>
        </w:rPr>
        <w:t>P4 — Apropiación superficial vs. real: Experimentación piloto vs. cultivo adaptativo de nichos sugiere diferencias en profundidad de adopción</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effectiveness is shaped by institutional configurations rather than isolated drivers" (página no disponible)"</w:t>
      </w:r>
    </w:p>
    <w:p>
      <w:pPr>
        <w:ind w:left="567" w:right="567"/>
      </w:pPr>
      <w:r>
        <w:rPr>
          <w:i/>
          <w:color w:val="444444"/>
          <w:sz w:val="19"/>
        </w:rPr>
        <w:t>""Meaningful subsidy reform occurs only when democratic governance is coupled with strong institutional capacity" (página no disponible)"</w:t>
      </w:r>
    </w:p>
    <w:p>
      <w:pPr>
        <w:ind w:left="567" w:right="567"/>
      </w:pPr>
      <w:r>
        <w:rPr>
          <w:i/>
          <w:color w:val="444444"/>
          <w:sz w:val="19"/>
        </w:rPr>
        <w:t>""Different causal configurations can lead to the same outcome" en procesos de reinvención de políticas (página no disponible)"</w:t>
      </w:r>
    </w:p>
    <w:p>
      <w:pPr>
        <w:pStyle w:val="Heading3"/>
      </w:pPr>
      <w:r>
        <w:rPr>
          <w:color w:val="0D47A1"/>
        </w:rPr>
        <w:t>Para Metodología</w:t>
      </w:r>
    </w:p>
    <w:p>
      <w:pPr>
        <w:ind w:left="567" w:right="567"/>
      </w:pPr>
      <w:r>
        <w:rPr>
          <w:i/>
          <w:color w:val="444444"/>
          <w:sz w:val="19"/>
        </w:rPr>
        <w:t>""Crisp-set Qualitative Comparative Analysis identifies multiple causal configurations associated with successful outcomes" (página no disponible)"</w:t>
      </w:r>
    </w:p>
    <w:p>
      <w:pPr>
        <w:ind w:left="567" w:right="567"/>
      </w:pPr>
      <w:r>
        <w:rPr>
          <w:i/>
          <w:color w:val="444444"/>
          <w:sz w:val="19"/>
        </w:rPr>
        <w:t>""No condition is sufficient on its own" para explicar efectividad en manejo de crisis (página no disponible)"</w:t>
      </w:r>
    </w:p>
    <w:p>
      <w:pPr>
        <w:pStyle w:val="Heading3"/>
      </w:pPr>
      <w:r>
        <w:rPr>
          <w:color w:val="BF360C"/>
        </w:rPr>
        <w:t>Para Discusión</w:t>
      </w:r>
    </w:p>
    <w:p>
      <w:pPr>
        <w:ind w:left="567" w:right="567"/>
      </w:pPr>
      <w:r>
        <w:rPr>
          <w:i/>
          <w:color w:val="444444"/>
          <w:sz w:val="19"/>
        </w:rPr>
        <w:t>""Early regulatory response contributes to success only when embedded in broader configuration" de capacidades (página no disponible)"</w:t>
      </w:r>
    </w:p>
    <w:p>
      <w:pPr>
        <w:ind w:left="567" w:right="567"/>
      </w:pPr>
      <w:r>
        <w:rPr>
          <w:i/>
          <w:color w:val="444444"/>
          <w:sz w:val="19"/>
        </w:rPr>
        <w:t>""Provinces with limited healthcare infrastructure were still able to respond effectively when they could mobilize collective action" (página no disponible)"</w:t>
      </w:r>
    </w:p>
    <w:p>
      <w:pPr>
        <w:ind w:left="567" w:right="567"/>
      </w:pPr>
      <w:r>
        <w:rPr>
          <w:i/>
          <w:color w:val="444444"/>
          <w:sz w:val="19"/>
        </w:rPr>
        <w:t>""Instrumental learning dominates expansion decisions, while political learning plays" mayor rol en relajación de restricciones (página no disponible)"</w:t>
      </w:r>
    </w:p>
    <w:p>
      <w:pPr>
        <w:pStyle w:val="Heading2"/>
      </w:pPr>
      <w:r>
        <w:rPr>
          <w:color w:val="1B4332"/>
        </w:rPr>
        <w:t>X | Vacíos estratégicos</w:t>
      </w:r>
    </w:p>
    <w:p>
      <w:r>
        <w:rPr>
          <w:sz w:val="20"/>
        </w:rPr>
        <w:t>1. No analiza específicamente contextos de alta dependencia de contratistas como variable moderadora</w:t>
        <w:br/>
        <w:t>2. Falta operacionalización detallada de capacidades en el nivel individual más allá del aprendizaje</w:t>
        <w:br/>
        <w:t>3. No examina sostenibilidad temporal de configuraciones causales identificadas</w:t>
        <w:br/>
        <w:t>4. Ausencia de análisis sobre apropiación superficial vs. institucionalización profunda de capacidades</w:t>
        <w:br/>
        <w:t>5. No considera efectos diferenciados de intervenciones según estabilidad del personal burocrático</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evidencia empírica significativa para las celdas organizacional-operativa (OO) y sistémica-operativa (OS) de la matriz PCF, demostrando que las configuraciones institucionales múltiples son más predictivas de efectividad que factores aislados. Su contribución principal radica en la operacionalización de configuraciones causales complejas usando QCA, lo cual es directamente relevante para medir capacidades en Rionegro. La evidencia sobre difusión horizontal y path dependence ofrece marcos conceptuales valiosos para entender cómo las intervenciones de capacity building pueden anclarse en estructuras institucionales existentes. Sin embargo, su utilidad está limitada por la ausencia de análisis específico sobre contextos contractor-dominated y la falta de indicadores detallados para el nivel individual. El artículo es clasificado como IMPORTANTE porque proporciona herramientas metodológicas robustas y evidencia empírica sobre mecanismos causales que pueden informar tanto el diseño de intervenciones como la medición de sus efectos en el caso de Rionegro.</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