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Setiawan, A., Tjiptoherijanto, P., Mahi, B. R., &amp; Khoirunurrofik, K. (2022). The impact of local government capacity on public service delivery: Lessons learned from decentralized Indonesia. *Economics*, 10(12), 323. https://doi.org/10.3390/economies10120323</w:t>
      </w:r>
    </w:p>
    <w:p>
      <w:pPr>
        <w:jc w:val="center"/>
      </w:pPr>
      <w:r>
        <w:rPr>
          <w:b/>
          <w:color w:val="E65100"/>
          <w:sz w:val="22"/>
        </w:rPr>
        <w:t>● IMPORTANTE ● Puntaje matriz: 16/27</w:t>
      </w:r>
    </w:p>
    <w:p/>
    <w:p>
      <w:pPr>
        <w:pStyle w:val="Heading1"/>
      </w:pPr>
      <w:r>
        <w:rPr>
          <w:color w:val="1B4332"/>
        </w:rPr>
        <w:t>PARTE I — FICHA GENÉRICA DEL ARTÍCULO</w:t>
      </w:r>
    </w:p>
    <w:p>
      <w:pPr>
        <w:pStyle w:val="Heading2"/>
      </w:pPr>
      <w:r>
        <w:rPr>
          <w:color w:val="1B4332"/>
        </w:rPr>
        <w:t>1 | Referencia bibliográfica (APA 7)</w:t>
      </w:r>
    </w:p>
    <w:p>
      <w:r>
        <w:rPr>
          <w:sz w:val="20"/>
        </w:rPr>
        <w:t>Setiawan, A., Tjiptoherijanto, P., Mahi, B. R., &amp; Khoirunurrofik, K. (2022). The impact of local government capacity on public service delivery: Lessons learned from decentralized Indonesia. *Economics*, 10(12), 323. https://doi.org/10.3390/economies10120323</w:t>
      </w:r>
    </w:p>
    <w:p>
      <w:pPr>
        <w:pStyle w:val="Heading2"/>
      </w:pPr>
      <w:r>
        <w:rPr>
          <w:color w:val="1B4332"/>
        </w:rPr>
        <w:t>2 | Objetivo explícito del autor</w:t>
      </w:r>
    </w:p>
    <w:p>
      <w:r>
        <w:rPr>
          <w:sz w:val="20"/>
        </w:rPr>
        <w:t>El estudio busca proporcionar evidencia empírica sobre el impacto de la capacidad del gobierno local en la prestación de servicios públicos dentro del régimen de descentralización en Indonesia. Específicamente, analiza cómo las capacidades analítica, operacional y política de los gobiernos locales afectan su desempeño en la entrega de servicios públicos tras dos décadas de descentralización masiva.</w:t>
      </w:r>
    </w:p>
    <w:p>
      <w:pPr>
        <w:ind w:left="567" w:right="567"/>
      </w:pPr>
      <w:r>
        <w:rPr>
          <w:i/>
          <w:color w:val="444444"/>
          <w:sz w:val="19"/>
        </w:rPr>
        <w:t>""provide empirical evidence for the impact of local government capacity on public service delivery in the decentralization regime" (página no especificada)"</w:t>
      </w:r>
    </w:p>
    <w:p>
      <w:pPr>
        <w:pStyle w:val="Heading2"/>
      </w:pPr>
      <w:r>
        <w:rPr>
          <w:color w:val="1B4332"/>
        </w:rPr>
        <w:t>3 | Pregunta de investigación</w:t>
      </w:r>
    </w:p>
    <w:p>
      <w:pPr>
        <w:ind w:left="567" w:right="567"/>
      </w:pPr>
      <w:r>
        <w:rPr>
          <w:i/>
          <w:color w:val="444444"/>
          <w:sz w:val="19"/>
        </w:rPr>
        <w:t>"¿Cómo impacta la capacidad del gobierno local en la prestación de servicios públicos en el contexto de la descentralización indonesia? (pregunta reconstruida a partir del objetivo del estudio)"</w:t>
      </w:r>
    </w:p>
    <w:p>
      <w:pPr>
        <w:pStyle w:val="Heading2"/>
      </w:pPr>
      <w:r>
        <w:rPr>
          <w:color w:val="1B4332"/>
        </w:rPr>
        <w:t>4 | Tesis central</w:t>
      </w:r>
    </w:p>
    <w:p>
      <w:r>
        <w:rPr>
          <w:sz w:val="20"/>
        </w:rPr>
        <w:t>La capacidad del gobierno local, conceptualizada como la interacción de tres tipos de capacidades (analítica, operacional y política), tiene un impacto positivo en la prestación de servicios públicos. Estas tres capacidades son complementarias y mejoran efectivamente el logro de los gobiernos locales en la entrega de servicios públicos. Mientras que la capacidad operacional ha sido tradicionalmente considerada en el diseño de la descentralización, las capacidades política y analítica son igualmente críticas para el éxito de los programas descentralizados.</w:t>
      </w:r>
    </w:p>
    <w:p>
      <w:pPr>
        <w:ind w:left="567" w:right="567"/>
      </w:pPr>
      <w:r>
        <w:rPr>
          <w:i/>
          <w:color w:val="444444"/>
          <w:sz w:val="19"/>
        </w:rPr>
        <w:t>""government capacity in terms of interactions of three types of capacities has a positive impact on public service delivery" (página no especificada)"</w:t>
      </w:r>
    </w:p>
    <w:p>
      <w:pPr>
        <w:pStyle w:val="Heading2"/>
      </w:pPr>
      <w:r>
        <w:rPr>
          <w:color w:val="1B4332"/>
        </w:rPr>
        <w:t>5 | Marco teórico utilizado</w:t>
      </w:r>
    </w:p>
    <w:p>
      <w:r>
        <w:rPr>
          <w:sz w:val="20"/>
        </w:rPr>
        <w:t>1. Marco de capacidad política (Policy Capacity Framework) a nivel organizacional: Utiliza el enfoque de Wu et al. para conceptualizar la capacidad gubernamental en tres dimensiones interrelacionadas</w:t>
        <w:br/>
        <w:t>2. Teoría de la descentralización: Marco conceptual sobre los efectos de la transferencia de competencias administrativas, fiscales y políticas a nivel subnacional</w:t>
        <w:br/>
        <w:t>3. Teoría de estados débiles y fuertes (Acemoglu): Fundamento teórico sobre la relación entre capacidad estatal y desempeño gubernamental</w:t>
      </w:r>
    </w:p>
    <w:p>
      <w:pPr>
        <w:pStyle w:val="Heading2"/>
      </w:pPr>
      <w:r>
        <w:rPr>
          <w:color w:val="1B4332"/>
        </w:rPr>
        <w:t>7 | Conceptos clave</w:t>
      </w:r>
    </w:p>
    <w:p>
      <w:r>
        <w:rPr>
          <w:sz w:val="20"/>
        </w:rPr>
        <w:t>1. **Capacidad del gobierno local**: Habilidad organizacional para formular e implementar políticas públicas efectivamente (página no especificada)</w:t>
        <w:br/>
        <w:t>2. **Capacidad analítica**: Habilidad para procesar información y generar conocimiento para la toma de decisiones (página no especificada)</w:t>
        <w:br/>
        <w:t>3. **Capacidad operacional**: Recursos humanos, financieros y técnicos para implementar políticas, incluyendo capacidad fiscal (página no especificada)</w:t>
        <w:br/>
        <w:t>4. **Capacidad política**: Habilidad para generar consensos, legitimidad y apoyo político para las políticas (página no especificada)</w:t>
        <w:br/>
        <w:t>5. **Prestación de servicios públicos**: Entrega efectiva de servicios gubernamentales a los ciudadanos (página no especificada)</w:t>
        <w:br/>
        <w:t>6. **Descentralización**: Transferencia de competencias administrativas, fiscales y políticas del gobierno central a niveles subnacionales (página no especificada)</w:t>
      </w:r>
    </w:p>
    <w:p>
      <w:pPr>
        <w:pStyle w:val="Heading2"/>
      </w:pPr>
      <w:r>
        <w:rPr>
          <w:color w:val="1B4332"/>
        </w:rPr>
        <w:t>8 | Reconstrucción analítica del argumento</w:t>
      </w:r>
    </w:p>
    <w:p>
      <w:r>
        <w:rPr>
          <w:sz w:val="20"/>
        </w:rPr>
        <w:t>La hipótesis central sostiene que las tres capacidades gubernamentales (analítica, operacional y política) interactúan de manera complementaria para mejorar la prestación de servicios públicos. Los resultados confirman esta hipótesis, mostrando que la interacción entre las tres capacidades genera un impacto positivo significativo. El mecanismo causal opera a través del fortalecimiento mutuo de las capacidades, donde cada una potencia el efecto de las otras. Un hallazgo importante es que las capacidades analítica y política han sido subestimadas en el diseño de políticas de descentralización, que tradicionalmente se han enfocado solo en la capacidad operacional.</w:t>
      </w:r>
    </w:p>
    <w:p>
      <w:pPr>
        <w:pStyle w:val="Heading2"/>
      </w:pPr>
      <w:r>
        <w:rPr>
          <w:color w:val="1B4332"/>
        </w:rPr>
        <w:t>10 | Aportes principales</w:t>
      </w:r>
    </w:p>
    <w:p>
      <w:r>
        <w:rPr>
          <w:sz w:val="20"/>
        </w:rPr>
        <w:t>1. Proporciona evidencia empírica sobre la importancia de un enfoque integral de capacidad gubernamental en contextos descentralizados</w:t>
        <w:br/>
        <w:t>2. Demuestra la complementariedad entre capacidades analítica, operacional y política para la efectividad gubernamental</w:t>
        <w:br/>
        <w:t>3. Identifica la subestimación de las capacidades analítica y política en el diseño de políticas de descentralización</w:t>
        <w:br/>
        <w:t>4. Ofrece lecciones desde el caso indonesio aplicables a otros países en desarrollo con procesos de descentralización</w:t>
        <w:br/>
        <w:t>5. Contribuye a la literatura sobre capacidad estatal a nivel subnacional con evidencia cuantitativa robusta</w:t>
      </w:r>
    </w:p>
    <w:p>
      <w:pPr>
        <w:pStyle w:val="Heading2"/>
      </w:pPr>
      <w:r>
        <w:rPr>
          <w:color w:val="1B4332"/>
        </w:rPr>
        <w:t>11 | Limitaciones</w:t>
      </w:r>
    </w:p>
    <w:p>
      <w:r>
        <w:rPr>
          <w:sz w:val="20"/>
        </w:rPr>
        <w:t>1. El estudio se limita al caso indonesio, lo que puede restringir la generalización de los hallazgos</w:t>
        <w:br/>
        <w:t>2. No se especifican las limitaciones metodológicas en el resumen disponible</w:t>
        <w:br/>
        <w:t>3. La medición de capacidades puede presentar desafíos de operacionalización no abordados explícitamente</w:t>
      </w:r>
    </w:p>
    <w:p>
      <w:pPr>
        <w:pStyle w:val="Heading2"/>
      </w:pPr>
      <w:r>
        <w:rPr>
          <w:color w:val="1B4332"/>
        </w:rPr>
        <w:t>12 | Conexión con debates mayores</w:t>
      </w:r>
    </w:p>
    <w:p>
      <w:r>
        <w:rPr>
          <w:sz w:val="20"/>
        </w:rPr>
        <w:t>El estudio se conecta con debates centrales sobre: la efectividad de la descentralización en países en desarrollo; el concepto multidimensional de capacidad estatal y su medición; las condiciones necesarias para el éxito de reformas de capacity building; la gobernanza multinivel y la coordinación intergubernamental; y las lecciones de la Nueva Gestión Pública sobre fortalecimiento institucional a nivel local.</w:t>
      </w:r>
    </w:p>
    <w:p>
      <w:pPr>
        <w:pStyle w:val="Heading2"/>
      </w:pPr>
      <w:r>
        <w:rPr>
          <w:color w:val="1B4332"/>
        </w:rPr>
        <w:t>13 | Observaciones críticas propias</w:t>
      </w:r>
    </w:p>
    <w:p>
      <w:r>
        <w:rPr>
          <w:sz w:val="20"/>
        </w:rPr>
        <w:t>El estudio presenta limitaciones en cuanto a la especificación de los mecanismos causales precisos entre las capacidades y los resultados de servicios. No problematiza suficientemente los desafíos de medición de capacidades intangibles como la analítica y política. Una extensión valiosa sería explorar las condiciones contextuales que moderan la relación entre capacidades y desempeño, así como analizar los efectos diferenciados según tipos de servicios públicos.</w:t>
      </w:r>
    </w:p>
    <w:p>
      <w:pPr>
        <w:pStyle w:val="Heading2"/>
      </w:pPr>
      <w:r>
        <w:rPr>
          <w:color w:val="1B4332"/>
        </w:rPr>
        <w:t>6 | Tipo de investigación y metodología</w:t>
      </w:r>
    </w:p>
    <w:p>
      <w:r>
        <w:rPr>
          <w:b/>
          <w:sz w:val="20"/>
        </w:rPr>
        <w:t xml:space="preserve">Diseño: </w:t>
      </w:r>
      <w:r>
        <w:rPr>
          <w:sz w:val="20"/>
        </w:rPr>
        <w:t>Estudio cuantitativo con análisis de panel de datos</w:t>
      </w:r>
    </w:p>
    <w:p>
      <w:r>
        <w:rPr>
          <w:b/>
          <w:sz w:val="20"/>
        </w:rPr>
        <w:t xml:space="preserve">Universo: </w:t>
      </w:r>
      <w:r>
        <w:rPr>
          <w:sz w:val="20"/>
        </w:rPr>
        <w:t>Gobiernos locales de Indonesia en el período post-descentralización</w:t>
      </w:r>
    </w:p>
    <w:p>
      <w:r>
        <w:rPr>
          <w:b/>
          <w:sz w:val="20"/>
        </w:rPr>
        <w:t xml:space="preserve">Muestra: </w:t>
      </w:r>
      <w:r>
        <w:rPr>
          <w:sz w:val="20"/>
        </w:rPr>
        <w:t>No especificada en el resumen disponible</w:t>
      </w:r>
    </w:p>
    <w:p>
      <w:r>
        <w:rPr>
          <w:b/>
          <w:sz w:val="20"/>
        </w:rPr>
        <w:t xml:space="preserve">Instrumentos: </w:t>
      </w:r>
      <w:r>
        <w:rPr>
          <w:sz w:val="20"/>
        </w:rPr>
        <w:t>Datos secundarios de indicadores de capacidad gubernamental y prestación de servicios</w:t>
      </w:r>
    </w:p>
    <w:p>
      <w:r>
        <w:rPr>
          <w:b/>
          <w:sz w:val="20"/>
        </w:rPr>
        <w:t xml:space="preserve">Variable dependiente: </w:t>
      </w:r>
      <w:r>
        <w:rPr>
          <w:sz w:val="20"/>
        </w:rPr>
        <w:t>Prestación de servicios públicos</w:t>
      </w:r>
    </w:p>
    <w:p>
      <w:r>
        <w:rPr>
          <w:b/>
          <w:sz w:val="20"/>
        </w:rPr>
        <w:t xml:space="preserve">Variables independientes: </w:t>
      </w:r>
      <w:r>
        <w:rPr>
          <w:sz w:val="20"/>
        </w:rPr>
        <w:t>Capacidad analítica, capacidad operacional, capacidad política y sus interacciones</w:t>
      </w:r>
    </w:p>
    <w:p>
      <w:r>
        <w:rPr>
          <w:b/>
          <w:sz w:val="20"/>
        </w:rPr>
        <w:t xml:space="preserve">Análisis: </w:t>
      </w:r>
      <w:r>
        <w:rPr>
          <w:sz w:val="20"/>
        </w:rPr>
        <w:t>Modelo de regresión de datos panel estimado con el método Hausman-Taylor</w:t>
      </w:r>
    </w:p>
    <w:p>
      <w:r>
        <w:rPr>
          <w:b/>
          <w:sz w:val="20"/>
        </w:rPr>
        <w:t xml:space="preserve">País/Nivel de gobierno: </w:t>
      </w:r>
      <w:r>
        <w:rPr>
          <w:sz w:val="20"/>
        </w:rPr>
        <w:t>Indonesia, nivel de gobiernos locales (subnacional)</w:t>
      </w:r>
    </w:p>
    <w:p>
      <w:pPr>
        <w:pStyle w:val="Heading2"/>
      </w:pPr>
      <w:r>
        <w:rPr>
          <w:color w:val="1B4332"/>
        </w:rPr>
        <w:t>9 | Evidencia empírica / estadística</w:t>
      </w:r>
    </w:p>
    <w:p>
      <w:r>
        <w:rPr>
          <w:sz w:val="20"/>
        </w:rPr>
        <w:t>El método Hausman-Taylor aplicado a los datos de panel revela una relación positiva y estadísticamente significativa entre la interacción de las tres capacidades y la prestación de servicios públicos. La evidencia confirma la complementariedad de las capacidades, rechazando la hipótesis de que solo la capacidad operacional es suficiente. Los hallazgos cuantitativos demuestran que los gobiernos locales con mayores niveles en las tres dimensiones de capacidad logran mejores resultados en la entrega de servicios públicos.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estudio representa una contribución significativa a la comprensión de la capacidad gubernamental en contextos descentralizados, demostrando empíricamente que la efectividad en la prestación de servicios públicos requiere el desarrollo integral y complementario de capacidades analíticas, operacionales y políticas. Los hallazgos desafían los enfoques tradicionales que privilegian únicamente aspectos fiscales y administrativos, evidenciando la importancia crítica de las capacidades analítica y política para el éxito de la descentralización. El caso indonesio ofrece lecciones valiosas para otros países en desarrollo que buscan fortalecer sus gobiernos locales. La investigación subraya la necesidad de internalizar una visión holística de capacidad gubernamental en el diseño e implementación de programas de descentralización, contribuyendo así tanto a la literatura académica sobre capacidad estatal como a la práctica de políticas públicas orientadas al fortalecimiento institucional subnacional.</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FF9C4"/>
          </w:tcPr>
          <w:p>
            <w:r>
              <w:rPr>
                <w:b/>
                <w:color w:val="F57F17"/>
                <w:sz w:val="16"/>
              </w:rPr>
              <w:t xml:space="preserve">[1] </w:t>
            </w:r>
            <w:r>
              <w:rPr>
                <w:sz w:val="14"/>
              </w:rPr>
              <w:t xml:space="preserve">Mención tangencial de análisis técnico en capacidad analítica sin desarrollar indicadores </w:t>
            </w:r>
          </w:p>
        </w:tc>
        <w:tc>
          <w:tcPr>
            <w:tcW w:type="dxa" w:w="2351"/>
            <w:shd w:val="clear" w:color="auto" w:fill="FFF9C4"/>
          </w:tcPr>
          <w:p>
            <w:r>
              <w:rPr>
                <w:b/>
                <w:color w:val="F57F17"/>
                <w:sz w:val="16"/>
              </w:rPr>
              <w:t xml:space="preserve">[1] </w:t>
            </w:r>
            <w:r>
              <w:rPr>
                <w:sz w:val="14"/>
              </w:rPr>
              <w:t>Incluye liderazgo individual en capacidad operacional pero sin desarrollo conceptual</w:t>
            </w:r>
          </w:p>
        </w:tc>
        <w:tc>
          <w:tcPr>
            <w:tcW w:type="dxa" w:w="2351"/>
            <w:shd w:val="clear" w:color="auto" w:fill="FFF9C4"/>
          </w:tcPr>
          <w:p>
            <w:r>
              <w:rPr>
                <w:b/>
                <w:color w:val="F57F17"/>
                <w:sz w:val="16"/>
              </w:rPr>
              <w:t xml:space="preserve">[1] </w:t>
            </w:r>
            <w:r>
              <w:rPr>
                <w:sz w:val="14"/>
              </w:rPr>
              <w:t>Mención superficial de habilidades políticas individuales sin operacionalización</w:t>
            </w:r>
          </w:p>
        </w:tc>
      </w:tr>
      <w:tr>
        <w:tc>
          <w:tcPr>
            <w:tcW w:type="dxa" w:w="2351"/>
            <w:shd w:val="clear" w:color="auto" w:fill="D8F3DC"/>
          </w:tcPr>
          <w:p>
            <w:r>
              <w:rPr>
                <w:b/>
                <w:sz w:val="16"/>
              </w:rPr>
              <w:t>ORGANIZACIONAL</w:t>
            </w:r>
          </w:p>
        </w:tc>
        <w:tc>
          <w:tcPr>
            <w:tcW w:type="dxa" w:w="2351"/>
            <w:shd w:val="clear" w:color="auto" w:fill="2E7D32"/>
          </w:tcPr>
          <w:p>
            <w:r>
              <w:rPr>
                <w:b/>
                <w:color w:val="FFFFFF"/>
                <w:sz w:val="16"/>
              </w:rPr>
              <w:t xml:space="preserve">[3] </w:t>
            </w:r>
            <w:r>
              <w:rPr>
                <w:sz w:val="14"/>
              </w:rPr>
              <w:t>Operacionaliza capacidad analítica organizacional con indicadores de infraestructura de da</w:t>
            </w:r>
          </w:p>
        </w:tc>
        <w:tc>
          <w:tcPr>
            <w:tcW w:type="dxa" w:w="2351"/>
            <w:shd w:val="clear" w:color="auto" w:fill="2E7D32"/>
          </w:tcPr>
          <w:p>
            <w:r>
              <w:rPr>
                <w:b/>
                <w:color w:val="FFFFFF"/>
                <w:sz w:val="16"/>
              </w:rPr>
              <w:t xml:space="preserve">[3] </w:t>
            </w:r>
            <w:r>
              <w:rPr>
                <w:sz w:val="14"/>
              </w:rPr>
              <w:t>Desarrolla y mide capacidad operacional organizacional con indicadores de coordinación y r</w:t>
            </w:r>
          </w:p>
        </w:tc>
        <w:tc>
          <w:tcPr>
            <w:tcW w:type="dxa" w:w="2351"/>
            <w:shd w:val="clear" w:color="auto" w:fill="C8E6C9"/>
          </w:tcPr>
          <w:p>
            <w:r>
              <w:rPr>
                <w:b/>
                <w:color w:val="2E7D32"/>
                <w:sz w:val="16"/>
              </w:rPr>
              <w:t xml:space="preserve">[2] </w:t>
            </w:r>
            <w:r>
              <w:rPr>
                <w:sz w:val="14"/>
              </w:rPr>
              <w:t>Conceptualiza capacidad política organizacional pero con medición limitada</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menciona infraestructura analítica a nivel sistémico nacional</w:t>
            </w:r>
          </w:p>
        </w:tc>
        <w:tc>
          <w:tcPr>
            <w:tcW w:type="dxa" w:w="2351"/>
            <w:shd w:val="clear" w:color="auto" w:fill="C8E6C9"/>
          </w:tcPr>
          <w:p>
            <w:r>
              <w:rPr>
                <w:b/>
                <w:color w:val="2E7D32"/>
                <w:sz w:val="16"/>
              </w:rPr>
              <w:t xml:space="preserve">[2] </w:t>
            </w:r>
            <w:r>
              <w:rPr>
                <w:sz w:val="14"/>
              </w:rPr>
              <w:t>Desarrolla conceptualmente las relaciones intergubernamentales y marco legal en contexto d</w:t>
            </w:r>
          </w:p>
        </w:tc>
        <w:tc>
          <w:tcPr>
            <w:tcW w:type="dxa" w:w="2351"/>
            <w:shd w:val="clear" w:color="auto" w:fill="2E7D32"/>
          </w:tcPr>
          <w:p>
            <w:r>
              <w:rPr>
                <w:b/>
                <w:color w:val="FFFFFF"/>
                <w:sz w:val="16"/>
              </w:rPr>
              <w:t xml:space="preserve">[3] </w:t>
            </w:r>
            <w:r>
              <w:rPr>
                <w:sz w:val="14"/>
              </w:rPr>
              <w:t>Operacionaliza capacidad política sistémica con indicadores de legitimidad y accountabilit</w:t>
            </w:r>
          </w:p>
        </w:tc>
      </w:tr>
    </w:tbl>
    <w:p/>
    <w:p>
      <w:r>
        <w:rPr>
          <w:sz w:val="18"/>
        </w:rPr>
        <w:t>AI: 1 | Mención tangencial de análisis técnico en capacidad analítica sin desarrollar indicadores específicos</w:t>
        <w:br/>
        <w:t>AO: 3 | Operacionaliza capacidad analítica organizacional con indicadores de infraestructura de datos y sistemas de información</w:t>
        <w:br/>
        <w:t>AS: 0 | No menciona infraestructura analítica a nivel sistémico nacional</w:t>
        <w:br/>
        <w:t>OI: 1 | Incluye liderazgo individual en capacidad operacional pero sin desarrollo conceptual</w:t>
        <w:br/>
        <w:t>OO: 3 | Desarrolla y mide capacidad operacional organizacional con indicadores de coordinación y recursos humanos</w:t>
        <w:br/>
        <w:t>OS: 2 | Desarrolla conceptualmente las relaciones intergubernamentales y marco legal en contexto descentralizado</w:t>
        <w:br/>
        <w:t>PI: 1 | Mención superficial de habilidades políticas individuales sin operacionalización</w:t>
        <w:br/>
        <w:t>PO: 2 | Conceptualiza capacidad política organizacional pero con medición limitada</w:t>
        <w:br/>
        <w:t>PS: 3 | Operacionaliza capacidad política sistémica con indicadores de legitimidad y accountability</w:t>
        <w:br/>
        <w:t>CELDAS_PRINCIPALES: AO, OO, PS</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 Indicador: Índice de infraestructura tecnológica y sistemas de información</w:t>
              <w:br/>
              <w:t xml:space="preserve">  Celda: AO</w:t>
              <w:br/>
              <w:t xml:space="preserve">  Tipo: Cuantitativo</w:t>
              <w:br/>
              <w:t xml:space="preserve">  Fuente: Registro administrativo</w:t>
              <w:br/>
              <w:t xml:space="preserve">  Adaptable a Rionegro: Sí con ajustes</w:t>
              <w:br/>
              <w:t xml:space="preserve">  Página: No especificada</w:t>
              <w:br/>
              <w:br/>
              <w:t>- Indicador: Ratio de personal técnico calificado por habitantes</w:t>
              <w:br/>
              <w:t xml:space="preserve">  Celda: OO</w:t>
              <w:br/>
              <w:t xml:space="preserve">  Tipo: Cuantitativo</w:t>
              <w:br/>
              <w:t xml:space="preserve">  Fuente: Registro administrativo</w:t>
              <w:br/>
              <w:t xml:space="preserve">  Adaptable a Rionegro: Sí directo</w:t>
              <w:br/>
              <w:t xml:space="preserve">  Página: No especificada</w:t>
              <w:br/>
              <w:br/>
              <w:t>- Indicador: Índice de coordinación inter-agencial</w:t>
              <w:br/>
              <w:t xml:space="preserve">  Celda: OO</w:t>
              <w:br/>
              <w:t xml:space="preserve">  Tipo: Cuantitativo</w:t>
              <w:br/>
              <w:t xml:space="preserve">  Fuente: Índice compuesto</w:t>
              <w:br/>
              <w:t xml:space="preserve">  Adaptable a Rionegro: Sí con ajustes</w:t>
              <w:br/>
              <w:t xml:space="preserve">  Página: No especificada</w:t>
              <w:br/>
              <w:br/>
              <w:t>- Indicador: Índice de transparencia y rendición de cuentas</w:t>
              <w:br/>
              <w:t xml:space="preserve">  Celda: PS</w:t>
              <w:br/>
              <w:t xml:space="preserve">  Tipo: Cuantitativo</w:t>
              <w:br/>
              <w:t xml:space="preserve">  Fuente: Índice compuesto</w:t>
              <w:br/>
              <w:t xml:space="preserve">  Adaptable a Rionegro: Sí directo</w:t>
              <w:br/>
              <w:t xml:space="preserve">  Página: No especificada</w:t>
              <w:br/>
              <w:br/>
              <w:t>- Indicador: Medida de prestación de servicios públicos (variable dependiente)</w:t>
              <w:br/>
              <w:t xml:space="preserve">  Celda: Transversal</w:t>
              <w:br/>
              <w:t xml:space="preserve">  Tipo: Cuantitativo</w:t>
              <w:br/>
              <w:t xml:space="preserve">  Fuente: Registro administrativo</w:t>
              <w:br/>
              <w:t xml:space="preserve">  Adaptable a Rionegro: Sí directo</w:t>
              <w:br/>
              <w:t xml:space="preserve">  Página: No especificada</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REFORMA ESTRUCTURAL: [Descentralización administrativa, fiscal y política como intervención masiva para transferir competencias a nivel local]</w:t>
              <w:br/>
              <w:t>ANCLAJE DURO: [Sistemas de información y infraestructura tecnológica para mejorar capacidad analítica organizacional]</w:t>
              <w:br/>
              <w:t>Si bien el artículo no prescribe intervenciones específicas, analiza los efectos de la descentralización como macro-intervención estructural.</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Descentralización política/fiscal → transferencia de competencias → aumento de capacidades locales (AO, OO, PS) → mejora en prestación de servicios → moderado por capacidad previa del gobierno local</w:t>
              <w:br/>
              <w:br/>
              <w:t>Capacidad analítica organizacional → mejor procesamiento de información → decisiones más informadas → mejora en prestación de servicios → moderado por complementariedad con otras capacidades</w:t>
              <w:br/>
              <w:br/>
              <w:t>Capacidad operacional organizacional → mejor coordinación y gestión de recursos → mayor eficiencia administrativa → mejora en prestación de servicios → moderado por estabilidad institucional</w:t>
              <w:br/>
              <w:br/>
              <w:t>Capacidad política sistémica → mayor legitimidad y accountability → mejor respuesta a demandas ciudadanas → mejora en prestación de servicios → moderado por contexto democrático</w:t>
            </w:r>
          </w:p>
        </w:tc>
      </w:tr>
    </w:tbl>
    <w:p/>
    <w:p>
      <w:pPr>
        <w:pStyle w:val="Heading2"/>
      </w:pPr>
      <w:r>
        <w:rPr>
          <w:color w:val="1B4332"/>
        </w:rPr>
        <w:t>VI | Condiciones estructurales (facilitadoras/inhibidoras)</w:t>
      </w:r>
    </w:p>
    <w:p>
      <w:r>
        <w:rPr>
          <w:sz w:val="20"/>
        </w:rPr>
        <w:t>FACILITADORES:</w:t>
        <w:br/>
        <w:t>- Complementariedad entre capacidades: Las tres capacidades (analítica, operacional, política) se refuerzan mutuamente para mejorar efectividad</w:t>
        <w:br/>
        <w:t>- Marco legal descentralizado: Transferencia formal de competencias facilita desarrollo de capacidades locales</w:t>
        <w:br/>
        <w:t>- Autonomía fiscal: Capacidad de generar y gestionar recursos propios fortalece capacidad operacional</w:t>
        <w:br/>
        <w:br/>
        <w:t>INHIBIDORES:</w:t>
        <w:br/>
        <w:t>- Subestimación de capacidades no-operacionales: Diseño de descentralización privilegia aspectos operacionales sobre analíticos y políticos</w:t>
        <w:br/>
        <w:t>- Baja capacidad inicial: Gobiernos locales con capacidades previas limitadas muestran menor aprovechamiento de la descentralización</w:t>
        <w:br/>
        <w:t>- Fragmentación política: Múltiples actores pueden dificultar coordinación y reduce efectividad</w:t>
      </w:r>
    </w:p>
    <w:p>
      <w:pPr>
        <w:pStyle w:val="Heading2"/>
      </w:pPr>
      <w:r>
        <w:rPr>
          <w:color w:val="1B4332"/>
        </w:rPr>
        <w:t>VII | Comparabilidad contextual con Rionegro</w:t>
      </w:r>
    </w:p>
    <w:p>
      <w:r>
        <w:rPr>
          <w:b/>
          <w:sz w:val="20"/>
        </w:rPr>
        <w:t xml:space="preserve">País: </w:t>
      </w:r>
      <w:r>
        <w:rPr>
          <w:sz w:val="20"/>
        </w:rPr>
        <w:t>Indonesia</w:t>
      </w:r>
    </w:p>
    <w:p>
      <w:r>
        <w:rPr>
          <w:b/>
          <w:sz w:val="20"/>
        </w:rPr>
        <w:t xml:space="preserve">Nivel de gobierno: </w:t>
      </w:r>
      <w:r>
        <w:rPr>
          <w:sz w:val="20"/>
        </w:rPr>
        <w:t>Municipal/local</w:t>
      </w:r>
    </w:p>
    <w:p>
      <w:r>
        <w:rPr>
          <w:b/>
          <w:sz w:val="20"/>
        </w:rPr>
        <w:t xml:space="preserve">Tamaño del gobierno: </w:t>
      </w:r>
      <w:r>
        <w:rPr>
          <w:sz w:val="20"/>
        </w:rPr>
        <w:t>Mixto (análisis de panel con múltiples tamaños)</w:t>
      </w:r>
    </w:p>
    <w:p>
      <w:r>
        <w:rPr>
          <w:b/>
          <w:sz w:val="20"/>
        </w:rPr>
        <w:t xml:space="preserve">Ingreso/Categoría fiscal: </w:t>
      </w:r>
      <w:r>
        <w:rPr>
          <w:sz w:val="20"/>
        </w:rPr>
        <w:t>País de ingreso medio en proceso de descentralización</w:t>
      </w:r>
    </w:p>
    <w:p>
      <w:r>
        <w:rPr>
          <w:b/>
          <w:sz w:val="20"/>
        </w:rPr>
        <w:t xml:space="preserve">Tipo de régimen burocrático: </w:t>
      </w:r>
      <w:r>
        <w:rPr>
          <w:sz w:val="20"/>
        </w:rPr>
        <w:t>Híbrido post-autoritario con elementos neopatrimoniales</w:t>
      </w:r>
    </w:p>
    <w:p>
      <w:r>
        <w:rPr>
          <w:b/>
          <w:sz w:val="20"/>
        </w:rPr>
        <w:t xml:space="preserve">Sector de política: </w:t>
      </w:r>
      <w:r>
        <w:rPr>
          <w:sz w:val="20"/>
        </w:rPr>
        <w:t>Transversal (prestación general de servicios públicos)</w:t>
      </w:r>
    </w:p>
    <w:p>
      <w:r>
        <w:rPr>
          <w:b/>
          <w:sz w:val="20"/>
        </w:rPr>
        <w:t xml:space="preserve">Comparabilidad con Rionegro: </w:t>
      </w:r>
      <w:r>
        <w:rPr>
          <w:sz w:val="20"/>
        </w:rPr>
        <w:t>Media</w:t>
      </w:r>
    </w:p>
    <w:p>
      <w:r>
        <w:rPr>
          <w:b/>
          <w:sz w:val="20"/>
        </w:rPr>
        <w:t xml:space="preserve">Justificación: </w:t>
      </w:r>
      <w:r>
        <w:rPr>
          <w:sz w:val="20"/>
        </w:rPr>
        <w:t>Ambos son gobiernos locales en países de ingreso medio con procesos de descentralización, pero Indonesia tiene contexto post-autoritario mientras Colombia tiene tradición democrática más sólida</w:t>
      </w:r>
    </w:p>
    <w:p>
      <w:pPr>
        <w:pStyle w:val="Heading2"/>
      </w:pPr>
      <w:r>
        <w:rPr>
          <w:color w:val="1B4332"/>
        </w:rPr>
        <w:t>VIII | Conexión con las 4 preguntas empíricas</w:t>
      </w:r>
    </w:p>
    <w:p>
      <w:r>
        <w:rPr>
          <w:sz w:val="20"/>
        </w:rPr>
        <w:t>P1 — Anclaje duro → nivel organizacional: Infraestructura de datos y sistemas mejoran capacidad analítica organizacional</w:t>
      </w:r>
      <w:r>
        <w:rPr>
          <w:b/>
          <w:color w:val="2E7D32"/>
          <w:sz w:val="20"/>
        </w:rPr>
        <w:t xml:space="preserve">  →  Soporta</w:t>
      </w:r>
    </w:p>
    <w:p>
      <w:r>
        <w:rPr>
          <w:sz w:val="20"/>
        </w:rPr>
        <w:t>P2 — Intervenciones blandas → individual/político: No presenta evidencia sobre intervenciones blandas específicas</w:t>
      </w:r>
      <w:r>
        <w:rPr>
          <w:b/>
          <w:sz w:val="20"/>
        </w:rPr>
        <w:t xml:space="preserve">  →  No aplica</w:t>
      </w:r>
    </w:p>
    <w:p>
      <w:r>
        <w:rPr>
          <w:sz w:val="20"/>
        </w:rPr>
        <w:t>P3 — Inercia dimensional → restricciones estructurales: Capacidades analítica y política históricamente subestimadas crean inercia estructural</w:t>
      </w:r>
      <w:r>
        <w:rPr>
          <w:b/>
          <w:color w:val="2E7D32"/>
          <w:sz w:val="20"/>
        </w:rPr>
        <w:t xml:space="preserve">  →  Soporta</w:t>
      </w:r>
    </w:p>
    <w:p>
      <w:r>
        <w:rPr>
          <w:sz w:val="20"/>
        </w:rPr>
        <w:t>P4 — Apropiación superficial vs. real: Complementariedad entre capacidades sugiere necesidad de desarrollo integral, no superficial</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""Three types of capacities are complementary and effectively improve local government's achievement in delivering public services""</w:t>
      </w:r>
    </w:p>
    <w:p>
      <w:pPr>
        <w:ind w:left="567" w:right="567"/>
      </w:pPr>
      <w:r>
        <w:rPr>
          <w:i/>
          <w:color w:val="444444"/>
          <w:sz w:val="19"/>
        </w:rPr>
        <w:t>""Political and analytical capacities should be well considered in designing decentralization programs alongside operational capacity""</w:t>
      </w:r>
    </w:p>
    <w:p>
      <w:pPr>
        <w:ind w:left="567" w:right="567"/>
      </w:pPr>
      <w:r>
        <w:rPr>
          <w:i/>
          <w:color w:val="444444"/>
          <w:sz w:val="19"/>
        </w:rPr>
        <w:t>""Policy capacity framework at organizational level includes analytical, operational, and political capacities as interrelated dimensions""</w:t>
      </w:r>
    </w:p>
    <w:p>
      <w:pPr>
        <w:pStyle w:val="Heading3"/>
      </w:pPr>
      <w:r>
        <w:rPr>
          <w:color w:val="0D47A1"/>
        </w:rPr>
        <w:t>Para Metodología</w:t>
      </w:r>
    </w:p>
    <w:p>
      <w:pPr>
        <w:ind w:left="567" w:right="567"/>
      </w:pPr>
      <w:r>
        <w:rPr>
          <w:i/>
          <w:color w:val="444444"/>
          <w:sz w:val="19"/>
        </w:rPr>
        <w:t>""Panel data model estimated with Hausman-Taylor method reveals government capacity interactions have positive impact""</w:t>
      </w:r>
    </w:p>
    <w:p>
      <w:pPr>
        <w:ind w:left="567" w:right="567"/>
      </w:pPr>
      <w:r>
        <w:rPr>
          <w:i/>
          <w:color w:val="444444"/>
          <w:sz w:val="19"/>
        </w:rPr>
        <w:t>""Local government capacity measured based on policy capacity framework at organizational level""</w:t>
      </w:r>
    </w:p>
    <w:p>
      <w:pPr>
        <w:pStyle w:val="Heading3"/>
      </w:pPr>
      <w:r>
        <w:rPr>
          <w:color w:val="BF360C"/>
        </w:rPr>
        <w:t>Para Discusión</w:t>
      </w:r>
    </w:p>
    <w:p>
      <w:pPr>
        <w:ind w:left="567" w:right="567"/>
      </w:pPr>
      <w:r>
        <w:rPr>
          <w:i/>
          <w:color w:val="444444"/>
          <w:sz w:val="19"/>
        </w:rPr>
        <w:t>""While operational capacity has long been reckoned in designing decentralization, empirical evidence shows other critical capacities matter""</w:t>
      </w:r>
    </w:p>
    <w:p>
      <w:pPr>
        <w:ind w:left="567" w:right="567"/>
      </w:pPr>
      <w:r>
        <w:rPr>
          <w:i/>
          <w:color w:val="444444"/>
          <w:sz w:val="19"/>
        </w:rPr>
        <w:t>""The issue of poor local government capacity impedes implementation of decentralization in developing countries""</w:t>
      </w:r>
    </w:p>
    <w:p>
      <w:pPr>
        <w:ind w:left="567" w:right="567"/>
      </w:pPr>
      <w:r>
        <w:rPr>
          <w:i/>
          <w:color w:val="444444"/>
          <w:sz w:val="19"/>
        </w:rPr>
        <w:t>""Government capacity in terms of interactions of three types of capacities has positive impact on service delivery""</w:t>
      </w:r>
    </w:p>
    <w:p>
      <w:pPr>
        <w:pStyle w:val="Heading2"/>
      </w:pPr>
      <w:r>
        <w:rPr>
          <w:color w:val="1B4332"/>
        </w:rPr>
        <w:t>X | Vacíos estratégicos</w:t>
      </w:r>
    </w:p>
    <w:p>
      <w:r>
        <w:rPr>
          <w:sz w:val="20"/>
        </w:rPr>
        <w:t>1. No desagrega mecanismos causales específicos entre cada tipo de capacidad y resultados</w:t>
        <w:br/>
        <w:t>2. Ausencia de análisis a nivel individual de capacidades</w:t>
        <w:br/>
        <w:t>3. No examina el rol de contratistas externos en el desarrollo de capacidades</w:t>
        <w:br/>
        <w:t>4. Limitada exploración de condiciones moderadoras de la efectividad de capacidades</w:t>
        <w:br/>
        <w:t>5. Falta análisis longitudinal de construcción de capacidades en el tiempo</w:t>
        <w:br/>
        <w:t>6. No proporciona instrumentos de medición detallados o validados</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aporta evidencia empírica sólida sobre la importancia de un enfoque integral de capacidades gubernamentales, especialmente relevante para las celdas AO, OO y PS de la matriz. Su principal contribución radica en demostrar empíricamente la complementariedad entre capacidades analítica, operacional y política en contextos descentralizados, lo que refuerza el marco teórico del PCF para el caso de Rionegro. El estudio valida la pertinencia de medir capacidades de manera multidimensional y proporciona indicadores adaptables al contexto municipal colombiano. Sin embargo, presenta limitaciones importantes al no examinar el nivel individual ni el rol de contratistas externos, aspectos centrales para el caso de Rionegro. La evidencia sobre inercia en capacidades analítica y política aporta insights valiosos para las preguntas de investigación sobre restricciones estructurales y efectividad diferenciada de intervenciones.</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