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4332"/>
          <w:sz w:val="28"/>
        </w:rPr>
        <w:t>FICHA DE LECTURA — CAPACIDADES DE POLÍTICA PÚBLICA</w:t>
      </w:r>
    </w:p>
    <w:p>
      <w:pPr>
        <w:jc w:val="center"/>
      </w:pPr>
      <w:r>
        <w:rPr>
          <w:i/>
          <w:color w:val="666666"/>
          <w:sz w:val="20"/>
        </w:rPr>
        <w:t>Proyecto: Medición de capacidades — Municipio de Rionegro, Antioquia</w:t>
      </w:r>
    </w:p>
    <w:p>
      <w:pPr>
        <w:jc w:val="center"/>
      </w:pPr>
      <w:r>
        <w:rPr>
          <w:i/>
          <w:sz w:val="22"/>
        </w:rPr>
        <w:t>Wang, E. H., &amp; Xu, Y. (2018). Awakening Leviathan: The effect of democracy on state capacity. Research and Politics, 5(2), 1-7. https://doi.org/10.1177/2053168018772398</w:t>
      </w:r>
    </w:p>
    <w:p>
      <w:pPr>
        <w:jc w:val="center"/>
      </w:pPr>
      <w:r>
        <w:rPr>
          <w:b/>
          <w:color w:val="1B4332"/>
          <w:sz w:val="22"/>
        </w:rPr>
        <w:t>●  ● Puntaje matriz: 0/27</w:t>
      </w:r>
    </w:p>
    <w:p/>
    <w:p>
      <w:pPr>
        <w:pStyle w:val="Heading1"/>
      </w:pPr>
      <w:r>
        <w:rPr>
          <w:color w:val="1B4332"/>
        </w:rPr>
        <w:t>PARTE I — FICHA GENÉRICA DEL ARTÍCULO</w:t>
      </w:r>
    </w:p>
    <w:p>
      <w:pPr>
        <w:pStyle w:val="Heading2"/>
      </w:pPr>
      <w:r>
        <w:rPr>
          <w:color w:val="1B4332"/>
        </w:rPr>
        <w:t>1 | Referencia bibliográfica (APA 7)</w:t>
      </w:r>
    </w:p>
    <w:p>
      <w:r>
        <w:rPr>
          <w:sz w:val="20"/>
        </w:rPr>
        <w:t>Wang, E. H., &amp; Xu, Y. (2018). Awakening Leviathan: The effect of democracy on state capacity. Research and Politics, 5(2), 1-7. https://doi.org/10.1177/2053168018772398</w:t>
      </w:r>
    </w:p>
    <w:p>
      <w:pPr>
        <w:pStyle w:val="Heading2"/>
      </w:pPr>
      <w:r>
        <w:rPr>
          <w:color w:val="1B4332"/>
        </w:rPr>
        <w:t>2 | Objetivo explícito del autor</w:t>
      </w:r>
    </w:p>
    <w:p>
      <w:r>
        <w:rPr>
          <w:sz w:val="20"/>
        </w:rPr>
        <w:t>El estudio busca demostrar empíricamente que la democracia tiene un efecto positivo y sustancial sobre la capacidad estatal, desafiando la visión predominante del "enfoque de secuenciación" en el desarrollo internacional que prioriza la construcción del Estado antes que la democratización. Los autores pretenden documentar el papel de fortalecimiento estatal de la democracia que ha sido subestimado en los debates académicos y de política pública.</w:t>
      </w:r>
    </w:p>
    <w:p>
      <w:pPr>
        <w:ind w:left="567" w:right="567"/>
      </w:pPr>
      <w:r>
        <w:rPr>
          <w:i/>
          <w:color w:val="444444"/>
          <w:sz w:val="19"/>
        </w:rPr>
        <w:t>""The goal of this study is not to dispute the importance of state capacity for development or quality of democracy. Rather, we empirically document that 'democracy can offer a solution to state-related problems'" (p. 1)"</w:t>
      </w:r>
    </w:p>
    <w:p>
      <w:pPr>
        <w:pStyle w:val="Heading2"/>
      </w:pPr>
      <w:r>
        <w:rPr>
          <w:color w:val="1B4332"/>
        </w:rPr>
        <w:t>3 | Pregunta de investigación</w:t>
      </w:r>
    </w:p>
    <w:p>
      <w:pPr>
        <w:ind w:left="567" w:right="567"/>
      </w:pPr>
      <w:r>
        <w:rPr>
          <w:i/>
          <w:color w:val="444444"/>
          <w:sz w:val="19"/>
        </w:rPr>
        <w:t>"¿Cuál es el efecto causal de la democracia sobre la capacidad estatal a nivel global y cuáles son los mecanismos que explican esta relación?"</w:t>
      </w:r>
    </w:p>
    <w:p>
      <w:pPr>
        <w:pStyle w:val="Heading2"/>
      </w:pPr>
      <w:r>
        <w:rPr>
          <w:color w:val="1B4332"/>
        </w:rPr>
        <w:t>4 | Tesis central</w:t>
      </w:r>
    </w:p>
    <w:p>
      <w:r>
        <w:rPr>
          <w:sz w:val="20"/>
        </w:rPr>
        <w:t>La democracia tiene un efecto causal positivo, sustancial y robusto sobre la capacidad estatal, contrario a las teorías de secuenciación que argumentan que se debe construir el Estado antes de democratizar. Este efecto se manifiesta principalmente a través del mecanismo de contestación política más que de participación, generando reformas institucionales que mejoran la eficiencia gubernamental. Los resultados sugieren que la incertidumbre política derivada de la competencia democrática incentiva reformas que separan la política de la administración, fortaleciendo las instituciones estatales.</w:t>
      </w:r>
    </w:p>
    <w:p>
      <w:pPr>
        <w:ind w:left="567" w:right="567"/>
      </w:pPr>
      <w:r>
        <w:rPr>
          <w:i/>
          <w:color w:val="444444"/>
          <w:sz w:val="19"/>
        </w:rPr>
        <w:t>""democracy has a substantial, positive causal effect on state capacity with identification strategies that adjust for pre-treatment dynamics" (Abstract)"</w:t>
      </w:r>
    </w:p>
    <w:p>
      <w:pPr>
        <w:pStyle w:val="Heading2"/>
      </w:pPr>
      <w:r>
        <w:rPr>
          <w:color w:val="1B4332"/>
        </w:rPr>
        <w:t>5 | Marco teórico utilizado</w:t>
      </w:r>
    </w:p>
    <w:p>
      <w:r>
        <w:rPr>
          <w:sz w:val="20"/>
        </w:rPr>
        <w:t>1. **Teoría de secuenciación en desarrollo internacional**: Argumenta que la construcción estatal debe preceder a la democratización</w:t>
        <w:br/>
        <w:t>2. **Teoría de la competencia política y reformas institucionales**: La contestación política genera incertidumbre que incentiva reformas institucionales</w:t>
        <w:br/>
        <w:t>3. **Teoría de separación política-administración**: La competencia democrática promueve la despolitización de la burocracia</w:t>
        <w:br/>
        <w:t>4. **Teoría de la difusión democrática**: Los procesos de democratización se difunden regionalmente</w:t>
        <w:br/>
        <w:t>5. **Teoría multidimensional de capacidad estatal**: Capacidad estatal como concepto con dimensiones extractiva, administrativa y coercitiva (no utiliza el PCF de Wu et al.)</w:t>
      </w:r>
    </w:p>
    <w:p>
      <w:pPr>
        <w:pStyle w:val="Heading2"/>
      </w:pPr>
      <w:r>
        <w:rPr>
          <w:color w:val="1B4332"/>
        </w:rPr>
        <w:t>7 | Conceptos clave</w:t>
      </w:r>
    </w:p>
    <w:p>
      <w:r>
        <w:rPr>
          <w:sz w:val="20"/>
        </w:rPr>
        <w:t>1. **Capacidad estatal** (p. 2): "state's ability to implement public policies" - capacidad multidimensional con componentes extractivo, administrativo y coercitivo</w:t>
        <w:br/>
        <w:t>2. **Contestación política** (p. 2): Competencia política que genera incertidumbre sobre permanencia en el cargo e incentiva reformas institucionales</w:t>
        <w:br/>
        <w:t>3. **Enfoque de secuenciación** (p. 1): Visión que "prioritizes state-building over democratization as a recipe for human development"</w:t>
        <w:br/>
        <w:t>4. **Capacidad extractiva** (p. 2): Dimensión relacionada con la habilidad del Estado para recaudar recursos fiscales</w:t>
        <w:br/>
        <w:t>5. **Capacidad administrativa** (p. 2): Dimensión relacionada con la eficiencia y profesionalización de la burocracia estatal</w:t>
        <w:br/>
        <w:t>6. **Capacidad coercitiva** (p. 2): Dimensión relacionada con el monopolio estatal del uso legítimo de la fuerza</w:t>
        <w:br/>
        <w:t>7. **Difusión democrática regional** (p. 4): Proceso por el cual la democratización se extiende geográficamente entre países vecinos</w:t>
      </w:r>
    </w:p>
    <w:p>
      <w:pPr>
        <w:pStyle w:val="Heading2"/>
      </w:pPr>
      <w:r>
        <w:rPr>
          <w:color w:val="1B4332"/>
        </w:rPr>
        <w:t>8 | Reconstrucción analítica del argumento</w:t>
      </w:r>
    </w:p>
    <w:p>
      <w:r>
        <w:rPr>
          <w:sz w:val="20"/>
        </w:rPr>
        <w:t>La hipótesis central sostiene que la democracia fortalece la capacidad estatal a través de la contestación política que genera incertidumbre electoral. Esta incertidumbre incentiva a los actores políticos a implementar reformas institucionales que separan la política de la administración para evitar que futuros oponentes controlen las agencias estatales. Los resultados confirman un efecto positivo de 13-28% de desviación estándar en capacidad estatal por cada año de democracia. El mecanismo causal opera principalmente a través de contestación (no participación), mejorando las dimensiones extractiva y administrativa pero potencialmente reduciendo la capacidad coercitiva. Un hallazgo no esperado es la aparente disminución de la capacidad estatal antes de las transiciones democráticas.</w:t>
      </w:r>
    </w:p>
    <w:p>
      <w:pPr>
        <w:pStyle w:val="Heading2"/>
      </w:pPr>
      <w:r>
        <w:rPr>
          <w:color w:val="1B4332"/>
        </w:rPr>
        <w:t>10 | Aportes principales</w:t>
      </w:r>
    </w:p>
    <w:p>
      <w:r>
        <w:rPr>
          <w:sz w:val="20"/>
        </w:rPr>
        <w:t>1. Desafía empíricamente el "enfoque de secuenciación" dominante en desarrollo internacional</w:t>
        <w:br/>
        <w:t>2. Contribuye a la literatura emergente sobre fuentes de capacidad estatal identificando la democracia como factor clave</w:t>
        <w:br/>
        <w:t>3. Mejora la investigación empírica previa utilizando panel largo (50 años) y estrategias de identificación avanzadas</w:t>
        <w:br/>
        <w:t>4. Identifica la contestación (no participación) como mecanismo causal principal del efecto democrático</w:t>
        <w:br/>
        <w:t>5. Proporciona evidencia robusta usando múltiples medidas de capacidad estatal y estrategias de identificación</w:t>
      </w:r>
    </w:p>
    <w:p>
      <w:pPr>
        <w:pStyle w:val="Heading2"/>
      </w:pPr>
      <w:r>
        <w:rPr>
          <w:color w:val="1B4332"/>
        </w:rPr>
        <w:t>11 | Limitaciones</w:t>
      </w:r>
    </w:p>
    <w:p>
      <w:r>
        <w:rPr>
          <w:sz w:val="20"/>
        </w:rPr>
        <w:t>1. Reconocen que la capacidad estatal es un concepto multidimensional complejo que puede no ser completamente capturado por las medidas disponibles</w:t>
        <w:br/>
        <w:t>2. La cobertura temporal limitada (hasta 2009) del índice principal de capacidad estatal</w:t>
        <w:br/>
        <w:t>3. El análisis de mecanismos es principalmente descriptivo y sugiere direcciones para investigación futura</w:t>
        <w:br/>
        <w:t>4. Las limitaciones inherentes al uso de variables instrumentales basadas en difusión regional</w:t>
      </w:r>
    </w:p>
    <w:p>
      <w:pPr>
        <w:pStyle w:val="Heading2"/>
      </w:pPr>
      <w:r>
        <w:rPr>
          <w:color w:val="1B4332"/>
        </w:rPr>
        <w:t>12 | Conexión con debates mayores</w:t>
      </w:r>
    </w:p>
    <w:p>
      <w:r>
        <w:rPr>
          <w:sz w:val="20"/>
        </w:rPr>
        <w:t>El estudio se conecta centralmente con debates sobre **state capacity** y **capacity building** al demostrar que las instituciones democráticas pueden fortalecer capacidades estatales. Desafía perspectivas de **gobernanza multinivel** que asumen tensiones entre democratización y efectividad estatal. Aunque no aborda directamente **descentralización** o **NPM**, sus hallazgos sobre separación política-administración se relacionan con principios de profesionalización burocrática presentes en reformas de NPM. Contribuye al debate sobre secuencias óptimas de reformas institucionales en países en desarrollo.</w:t>
      </w:r>
    </w:p>
    <w:p>
      <w:pPr>
        <w:pStyle w:val="Heading2"/>
      </w:pPr>
      <w:r>
        <w:rPr>
          <w:color w:val="1B4332"/>
        </w:rPr>
        <w:t>13 | Observaciones críticas propias</w:t>
      </w:r>
    </w:p>
    <w:p>
      <w:r>
        <w:rPr>
          <w:sz w:val="20"/>
        </w:rPr>
        <w:t>El estudio presenta tensiones no completamente resueltas entre sus hallazgos sobre diferentes dimensiones de capacidad estatal, particularmente la reducción de capacidad coercitiva bajo democracia. Los autores no problematizan suficientemente el supuesto de que todas las dimensiones de capacidad estatal son igualmente deseables para el desarrollo. La medición agregada de capacidad estatal, aunque metodológicamente sofisticada, puede oscurecer variaciones importantes entre dimensiones y contextos. Se sugiere extender el análisis para examinar condiciones contextuales que moderan el efecto democrático y explorar mecanismos causales mediante diseños experimentales o cuasi-experimentales más granulares.</w:t>
      </w:r>
    </w:p>
    <w:p>
      <w:pPr>
        <w:pStyle w:val="Heading2"/>
      </w:pPr>
      <w:r>
        <w:rPr>
          <w:color w:val="1B4332"/>
        </w:rPr>
        <w:t>6 | Tipo de investigación y metodología</w:t>
      </w:r>
    </w:p>
    <w:p>
      <w:r>
        <w:rPr>
          <w:b/>
          <w:sz w:val="20"/>
        </w:rPr>
        <w:t xml:space="preserve">Diseño: </w:t>
      </w:r>
      <w:r>
        <w:rPr>
          <w:sz w:val="20"/>
        </w:rPr>
        <w:t>Panel global longitudinal con estrategias de identificación causal</w:t>
      </w:r>
    </w:p>
    <w:p>
      <w:r>
        <w:rPr>
          <w:b/>
          <w:sz w:val="20"/>
        </w:rPr>
        <w:t xml:space="preserve">Universo: </w:t>
      </w:r>
      <w:r>
        <w:rPr>
          <w:sz w:val="20"/>
        </w:rPr>
        <w:t>Países del mundo</w:t>
      </w:r>
    </w:p>
    <w:p>
      <w:r>
        <w:rPr>
          <w:b/>
          <w:sz w:val="20"/>
        </w:rPr>
        <w:t xml:space="preserve">Muestra: </w:t>
      </w:r>
      <w:r>
        <w:rPr>
          <w:sz w:val="20"/>
        </w:rPr>
        <w:t>Hasta 174 países durante 1960-2009 (50 años)</w:t>
      </w:r>
    </w:p>
    <w:p>
      <w:r>
        <w:rPr>
          <w:b/>
          <w:sz w:val="20"/>
        </w:rPr>
        <w:t xml:space="preserve">Instrumentos: </w:t>
      </w:r>
      <w:r>
        <w:rPr>
          <w:sz w:val="20"/>
        </w:rPr>
        <w:t>Datos secundarios de múltiples bases de datos internacionales</w:t>
      </w:r>
    </w:p>
    <w:p>
      <w:r>
        <w:rPr>
          <w:b/>
          <w:sz w:val="20"/>
        </w:rPr>
        <w:t xml:space="preserve">Variable dependiente: </w:t>
      </w:r>
      <w:r>
        <w:rPr>
          <w:sz w:val="20"/>
        </w:rPr>
        <w:t>Índice compuesto de capacidad estatal (Hanson y Sigman, 2013) y medidas desagregadas</w:t>
      </w:r>
    </w:p>
    <w:p>
      <w:r>
        <w:rPr>
          <w:b/>
          <w:sz w:val="20"/>
        </w:rPr>
        <w:t xml:space="preserve">Variables independientes: </w:t>
      </w:r>
      <w:r>
        <w:rPr>
          <w:sz w:val="20"/>
        </w:rPr>
        <w:t>Democracia binaria (BMR), variables de control demográficas, económicas, de recursos, guerra</w:t>
      </w:r>
    </w:p>
    <w:p>
      <w:r>
        <w:rPr>
          <w:b/>
          <w:sz w:val="20"/>
        </w:rPr>
        <w:t xml:space="preserve">Análisis: </w:t>
      </w:r>
      <w:r>
        <w:rPr>
          <w:sz w:val="20"/>
        </w:rPr>
        <w:t>Modelos de efectos fijos con variables dependientes rezagadas, estimación por variables instrumentales, análisis de mecanismos</w:t>
      </w:r>
    </w:p>
    <w:p>
      <w:r>
        <w:rPr>
          <w:b/>
          <w:sz w:val="20"/>
        </w:rPr>
        <w:t xml:space="preserve">País/Nivel de gobierno: </w:t>
      </w:r>
      <w:r>
        <w:rPr>
          <w:sz w:val="20"/>
        </w:rPr>
        <w:t>Nacional (análisis comparativo global)</w:t>
      </w:r>
    </w:p>
    <w:p>
      <w:pPr>
        <w:pStyle w:val="Heading2"/>
      </w:pPr>
      <w:r>
        <w:rPr>
          <w:color w:val="1B4332"/>
        </w:rPr>
        <w:t>9 | Evidencia empírica / estadística</w:t>
      </w:r>
    </w:p>
    <w:p>
      <w:r>
        <w:rPr>
          <w:sz w:val="20"/>
        </w:rPr>
        <w:t>El efecto acumulativo de la democracia representa entre 0.192-0.236 puntos en el índice de capacidad estatal, equivalente a 13-28% de desviación estándar. La democracia mejora significativamente la Capacidad Política Relativa (0.064-0.069) y reduce la corrupción del sector público (-0.023 a -0.028), pero disminuye el personal militar per cápita (-0.023 a -0.032). Los resultados son robustos a múltiples especificaciones, medidas alternativas de democracia, y estrategias de variables instrumentales. El análisis de mecanismos muestra asociación positiva entre contestación política y capacidad estatal, pero no entre participación política y capacidad estatal.</w:t>
      </w:r>
    </w:p>
    <w:p>
      <w:pPr>
        <w:pStyle w:val="Heading2"/>
      </w:pPr>
      <w:r>
        <w:rPr>
          <w:color w:val="1B4332"/>
        </w:rPr>
        <w:t>14 | Conclusión analítica sintética</w:t>
      </w:r>
    </w:p>
    <w:tbl>
      <w:tblPr>
        <w:tblStyle w:val="TableGrid"/>
        <w:tblW w:type="auto" w:w="0"/>
        <w:tblLook w:firstColumn="1" w:firstRow="1" w:lastColumn="0" w:lastRow="0" w:noHBand="0" w:noVBand="1" w:val="04A0"/>
      </w:tblPr>
      <w:tblGrid>
        <w:gridCol w:w="9406"/>
      </w:tblGrid>
      <w:tr>
        <w:tc>
          <w:tcPr>
            <w:tcW w:type="dxa" w:w="9406"/>
            <w:shd w:val="clear" w:color="auto" w:fill="E8F5E9"/>
          </w:tcPr>
          <w:p/>
          <w:p>
            <w:r>
              <w:rPr>
                <w:sz w:val="19"/>
              </w:rPr>
              <w:t>Wang y Xu desafían convincentemente la sabiduría convencional sobre secuenciación institucional en desarrollo, demostrando que la democracia fortalece sistemáticamente la capacidad estatal a través de mecanismos de contestación política. Su análisis empírico robusto, basado en un panel global de 50 años con estrategias de identificación avanzadas, revela que la incertidumbre electoral incentiva reformas que profesionalizan la administración pública y mejoran la eficiencia extractiva. Estos hallazgos tienen implicaciones profundas para la asistencia al desarrollo y las políticas de construcción estatal, sugiriendo que democratización y fortalecimiento estatal pueden ser procesos complementarios más que secuenciales. El estudio contribuye significativamente a la literatura de capacidad estatal al identificar la democracia como fuente subestimada de fortalecimiento institucional. La evidencia de que la contestación, más que la participación, impulsa estos efectos abre nuevas avenidas para comprender los microfundamentos de la construcción estatal democrática.</w:t>
            </w:r>
          </w:p>
        </w:tc>
      </w:tr>
    </w:tbl>
    <w:p/>
    <w:p>
      <w:r>
        <w:br w:type="page"/>
      </w:r>
    </w:p>
    <w:p>
      <w:pPr>
        <w:pStyle w:val="Heading1"/>
      </w:pPr>
      <w:r>
        <w:rPr>
          <w:color w:val="1B4332"/>
        </w:rPr>
        <w:t>PARTE II — FICHA AJUSTADA AL PROYECTO DE CAPACIDADES</w:t>
      </w:r>
    </w:p>
    <w:p>
      <w:r>
        <w:rPr>
          <w:i/>
          <w:sz w:val="20"/>
        </w:rPr>
        <w:t>Matriz de Wu et al. (2015/2018) aplicada a Rionegro, Antioquia</w:t>
      </w:r>
    </w:p>
    <w:p>
      <w:pPr>
        <w:pStyle w:val="Heading2"/>
      </w:pPr>
      <w:r>
        <w:rPr>
          <w:color w:val="1B4332"/>
        </w:rPr>
        <w:t>I | Mapeo a la Matriz de Capacidades (9 celdas)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B4332"/>
          </w:tcPr>
          <w:p>
            <w:r>
              <w:rPr>
                <w:b/>
                <w:color w:val="FFFFFF"/>
                <w:sz w:val="16"/>
              </w:rPr>
              <w:t>Nivel \ Competencia</w:t>
            </w:r>
          </w:p>
        </w:tc>
        <w:tc>
          <w:tcPr>
            <w:tcW w:type="dxa" w:w="2351"/>
            <w:shd w:val="clear" w:color="auto" w:fill="1B4332"/>
          </w:tcPr>
          <w:p>
            <w:r>
              <w:rPr>
                <w:b/>
                <w:color w:val="FFFFFF"/>
                <w:sz w:val="16"/>
              </w:rPr>
              <w:t>ANALÍTICA</w:t>
            </w:r>
          </w:p>
        </w:tc>
        <w:tc>
          <w:tcPr>
            <w:tcW w:type="dxa" w:w="2351"/>
            <w:shd w:val="clear" w:color="auto" w:fill="1B4332"/>
          </w:tcPr>
          <w:p>
            <w:r>
              <w:rPr>
                <w:b/>
                <w:color w:val="FFFFFF"/>
                <w:sz w:val="16"/>
              </w:rPr>
              <w:t>OPERATIVA</w:t>
            </w:r>
          </w:p>
        </w:tc>
        <w:tc>
          <w:tcPr>
            <w:tcW w:type="dxa" w:w="2351"/>
            <w:shd w:val="clear" w:color="auto" w:fill="1B4332"/>
          </w:tcPr>
          <w:p>
            <w:r>
              <w:rPr>
                <w:b/>
                <w:color w:val="FFFFFF"/>
                <w:sz w:val="16"/>
              </w:rPr>
              <w:t>POLÍTICA</w:t>
            </w:r>
          </w:p>
        </w:tc>
      </w:tr>
      <w:tr>
        <w:tc>
          <w:tcPr>
            <w:tcW w:type="dxa" w:w="2351"/>
            <w:shd w:val="clear" w:color="auto" w:fill="D8F3DC"/>
          </w:tcPr>
          <w:p>
            <w:r>
              <w:rPr>
                <w:b/>
                <w:sz w:val="16"/>
              </w:rPr>
              <w:t>INDIVIDUAL</w:t>
            </w:r>
          </w:p>
        </w:tc>
        <w:tc>
          <w:tcPr>
            <w:tcW w:type="dxa" w:w="2351"/>
            <w:shd w:val="clear" w:color="auto" w:fill="F5F5F5"/>
          </w:tcPr>
          <w:p>
            <w:r>
              <w:rPr>
                <w:b/>
                <w:color w:val="999999"/>
                <w:sz w:val="16"/>
              </w:rPr>
              <w:t xml:space="preserve">[0] </w:t>
            </w:r>
            <w:r>
              <w:rPr>
                <w:sz w:val="14"/>
              </w:rPr>
              <w:t>No parseado</w:t>
            </w:r>
          </w:p>
        </w:tc>
        <w:tc>
          <w:tcPr>
            <w:tcW w:type="dxa" w:w="2351"/>
            <w:shd w:val="clear" w:color="auto" w:fill="F5F5F5"/>
          </w:tcPr>
          <w:p>
            <w:r>
              <w:rPr>
                <w:b/>
                <w:color w:val="999999"/>
                <w:sz w:val="16"/>
              </w:rPr>
              <w:t xml:space="preserve">[0] </w:t>
            </w:r>
            <w:r>
              <w:rPr>
                <w:sz w:val="14"/>
              </w:rPr>
              <w:t>No parseado</w:t>
            </w:r>
          </w:p>
        </w:tc>
        <w:tc>
          <w:tcPr>
            <w:tcW w:type="dxa" w:w="2351"/>
            <w:shd w:val="clear" w:color="auto" w:fill="F5F5F5"/>
          </w:tcPr>
          <w:p>
            <w:r>
              <w:rPr>
                <w:b/>
                <w:color w:val="999999"/>
                <w:sz w:val="16"/>
              </w:rPr>
              <w:t xml:space="preserve">[0] </w:t>
            </w:r>
            <w:r>
              <w:rPr>
                <w:sz w:val="14"/>
              </w:rPr>
              <w:t>No parseado</w:t>
            </w:r>
          </w:p>
        </w:tc>
      </w:tr>
      <w:tr>
        <w:tc>
          <w:tcPr>
            <w:tcW w:type="dxa" w:w="2351"/>
            <w:shd w:val="clear" w:color="auto" w:fill="D8F3DC"/>
          </w:tcPr>
          <w:p>
            <w:r>
              <w:rPr>
                <w:b/>
                <w:sz w:val="16"/>
              </w:rPr>
              <w:t>ORGANIZACIONAL</w:t>
            </w:r>
          </w:p>
        </w:tc>
        <w:tc>
          <w:tcPr>
            <w:tcW w:type="dxa" w:w="2351"/>
            <w:shd w:val="clear" w:color="auto" w:fill="F5F5F5"/>
          </w:tcPr>
          <w:p>
            <w:r>
              <w:rPr>
                <w:b/>
                <w:color w:val="999999"/>
                <w:sz w:val="16"/>
              </w:rPr>
              <w:t xml:space="preserve">[0] </w:t>
            </w:r>
            <w:r>
              <w:rPr>
                <w:sz w:val="14"/>
              </w:rPr>
              <w:t>No parseado</w:t>
            </w:r>
          </w:p>
        </w:tc>
        <w:tc>
          <w:tcPr>
            <w:tcW w:type="dxa" w:w="2351"/>
            <w:shd w:val="clear" w:color="auto" w:fill="F5F5F5"/>
          </w:tcPr>
          <w:p>
            <w:r>
              <w:rPr>
                <w:b/>
                <w:color w:val="999999"/>
                <w:sz w:val="16"/>
              </w:rPr>
              <w:t xml:space="preserve">[0] </w:t>
            </w:r>
            <w:r>
              <w:rPr>
                <w:sz w:val="14"/>
              </w:rPr>
              <w:t>No parseado</w:t>
            </w:r>
          </w:p>
        </w:tc>
        <w:tc>
          <w:tcPr>
            <w:tcW w:type="dxa" w:w="2351"/>
            <w:shd w:val="clear" w:color="auto" w:fill="F5F5F5"/>
          </w:tcPr>
          <w:p>
            <w:r>
              <w:rPr>
                <w:b/>
                <w:color w:val="999999"/>
                <w:sz w:val="16"/>
              </w:rPr>
              <w:t xml:space="preserve">[0] </w:t>
            </w:r>
            <w:r>
              <w:rPr>
                <w:sz w:val="14"/>
              </w:rPr>
              <w:t>No parseado</w:t>
            </w:r>
          </w:p>
        </w:tc>
      </w:tr>
      <w:tr>
        <w:tc>
          <w:tcPr>
            <w:tcW w:type="dxa" w:w="2351"/>
            <w:shd w:val="clear" w:color="auto" w:fill="D8F3DC"/>
          </w:tcPr>
          <w:p>
            <w:r>
              <w:rPr>
                <w:b/>
                <w:sz w:val="16"/>
              </w:rPr>
              <w:t>SISTÉMICO</w:t>
            </w:r>
          </w:p>
        </w:tc>
        <w:tc>
          <w:tcPr>
            <w:tcW w:type="dxa" w:w="2351"/>
            <w:shd w:val="clear" w:color="auto" w:fill="F5F5F5"/>
          </w:tcPr>
          <w:p>
            <w:r>
              <w:rPr>
                <w:b/>
                <w:color w:val="999999"/>
                <w:sz w:val="16"/>
              </w:rPr>
              <w:t xml:space="preserve">[0] </w:t>
            </w:r>
            <w:r>
              <w:rPr>
                <w:sz w:val="14"/>
              </w:rPr>
              <w:t>No parseado</w:t>
            </w:r>
          </w:p>
        </w:tc>
        <w:tc>
          <w:tcPr>
            <w:tcW w:type="dxa" w:w="2351"/>
            <w:shd w:val="clear" w:color="auto" w:fill="F5F5F5"/>
          </w:tcPr>
          <w:p>
            <w:r>
              <w:rPr>
                <w:b/>
                <w:color w:val="999999"/>
                <w:sz w:val="16"/>
              </w:rPr>
              <w:t xml:space="preserve">[0] </w:t>
            </w:r>
            <w:r>
              <w:rPr>
                <w:sz w:val="14"/>
              </w:rPr>
              <w:t>No parseado</w:t>
            </w:r>
          </w:p>
        </w:tc>
        <w:tc>
          <w:tcPr>
            <w:tcW w:type="dxa" w:w="2351"/>
            <w:shd w:val="clear" w:color="auto" w:fill="F5F5F5"/>
          </w:tcPr>
          <w:p>
            <w:r>
              <w:rPr>
                <w:b/>
                <w:color w:val="999999"/>
                <w:sz w:val="16"/>
              </w:rPr>
              <w:t xml:space="preserve">[0] </w:t>
            </w:r>
            <w:r>
              <w:rPr>
                <w:sz w:val="14"/>
              </w:rPr>
              <w:t>No parseado</w:t>
            </w:r>
          </w:p>
        </w:tc>
      </w:tr>
    </w:tbl>
    <w:p/>
    <w:p/>
    <w:p>
      <w:pPr>
        <w:pStyle w:val="Heading2"/>
      </w:pPr>
      <w:r>
        <w:rPr>
          <w:color w:val="1B4332"/>
        </w:rPr>
        <w:t>II | Indicadores operacionalizables extraídos</w:t>
      </w:r>
    </w:p>
    <w:tbl>
      <w:tblPr>
        <w:tblStyle w:val="TableGrid"/>
        <w:tblW w:type="auto" w:w="0"/>
        <w:tblLook w:firstColumn="1" w:firstRow="1" w:lastColumn="0" w:lastRow="0" w:noHBand="0" w:noVBand="1" w:val="04A0"/>
      </w:tblPr>
      <w:tblGrid>
        <w:gridCol w:w="9406"/>
      </w:tblGrid>
      <w:tr>
        <w:tc>
          <w:tcPr>
            <w:tcW w:type="dxa" w:w="9406"/>
            <w:shd w:val="clear" w:color="auto" w:fill="E3F2FD"/>
          </w:tcPr>
          <w:p/>
          <w:p>
            <w:r>
              <w:rPr>
                <w:b/>
                <w:color w:val="1B4332"/>
                <w:sz w:val="20"/>
              </w:rPr>
              <w:t>Indicadores para instrumento de medición</w:t>
            </w:r>
          </w:p>
          <w:p/>
        </w:tc>
      </w:tr>
    </w:tbl>
    <w:p/>
    <w:p>
      <w:pPr>
        <w:pStyle w:val="Heading2"/>
      </w:pPr>
      <w:r>
        <w:rPr>
          <w:color w:val="1B4332"/>
        </w:rPr>
        <w:t>III | Variables, escalas e ítems de encuesta</w:t>
      </w:r>
    </w:p>
    <w:tbl>
      <w:tblPr>
        <w:tblStyle w:val="TableGrid"/>
        <w:tblW w:type="auto" w:w="0"/>
        <w:tblLook w:firstColumn="1" w:firstRow="1" w:lastColumn="0" w:lastRow="0" w:noHBand="0" w:noVBand="1" w:val="04A0"/>
      </w:tblPr>
      <w:tblGrid>
        <w:gridCol w:w="9406"/>
      </w:tblGrid>
      <w:tr>
        <w:tc>
          <w:tcPr>
            <w:tcW w:type="dxa" w:w="9406"/>
            <w:shd w:val="clear" w:color="auto" w:fill="F3E5F5"/>
          </w:tcPr>
          <w:p/>
          <w:p>
            <w:r>
              <w:rPr>
                <w:b/>
                <w:color w:val="1B4332"/>
                <w:sz w:val="20"/>
              </w:rPr>
              <w:t>Ítems extraíbles para instrumento Rionegro</w:t>
            </w:r>
          </w:p>
          <w:p/>
        </w:tc>
      </w:tr>
    </w:tbl>
    <w:p/>
    <w:p>
      <w:pPr>
        <w:pStyle w:val="Heading2"/>
      </w:pPr>
      <w:r>
        <w:rPr>
          <w:color w:val="1B4332"/>
        </w:rPr>
        <w:t>IV | Intervenciones de Capacity Building</w:t>
      </w:r>
    </w:p>
    <w:tbl>
      <w:tblPr>
        <w:tblStyle w:val="TableGrid"/>
        <w:tblW w:type="auto" w:w="0"/>
        <w:tblLook w:firstColumn="1" w:firstRow="1" w:lastColumn="0" w:lastRow="0" w:noHBand="0" w:noVBand="1" w:val="04A0"/>
      </w:tblPr>
      <w:tblGrid>
        <w:gridCol w:w="9406"/>
      </w:tblGrid>
      <w:tr>
        <w:tc>
          <w:tcPr>
            <w:tcW w:type="dxa" w:w="9406"/>
            <w:shd w:val="clear" w:color="auto" w:fill="FFF3E0"/>
          </w:tcPr>
          <w:p/>
          <w:p/>
        </w:tc>
      </w:tr>
    </w:tbl>
    <w:p/>
    <w:p>
      <w:pPr>
        <w:pStyle w:val="Heading2"/>
      </w:pPr>
      <w:r>
        <w:rPr>
          <w:color w:val="1B4332"/>
        </w:rPr>
        <w:t>V | Cadena causal: Intervención → Capacidad</w:t>
      </w:r>
    </w:p>
    <w:tbl>
      <w:tblPr>
        <w:tblStyle w:val="TableGrid"/>
        <w:tblW w:type="auto" w:w="0"/>
        <w:tblLook w:firstColumn="1" w:firstRow="1" w:lastColumn="0" w:lastRow="0" w:noHBand="0" w:noVBand="1" w:val="04A0"/>
      </w:tblPr>
      <w:tblGrid>
        <w:gridCol w:w="9406"/>
      </w:tblGrid>
      <w:tr>
        <w:tc>
          <w:tcPr>
            <w:tcW w:type="dxa" w:w="9406"/>
            <w:shd w:val="clear" w:color="auto" w:fill="FCE4EC"/>
          </w:tcPr>
          <w:p/>
          <w:p>
            <w:r>
              <w:rPr>
                <w:b/>
                <w:color w:val="1B4332"/>
                <w:sz w:val="20"/>
              </w:rPr>
              <w:t>Intervención → Mecanismo → Celda → Moderador</w:t>
            </w:r>
          </w:p>
          <w:p/>
        </w:tc>
      </w:tr>
    </w:tbl>
    <w:p/>
    <w:p>
      <w:pPr>
        <w:pStyle w:val="Heading2"/>
      </w:pPr>
      <w:r>
        <w:rPr>
          <w:color w:val="1B4332"/>
        </w:rPr>
        <w:t>VI | Condiciones estructurales (facilitadoras/inhibidoras)</w:t>
      </w:r>
    </w:p>
    <w:p/>
    <w:p>
      <w:pPr>
        <w:pStyle w:val="Heading2"/>
      </w:pPr>
      <w:r>
        <w:rPr>
          <w:color w:val="1B4332"/>
        </w:rPr>
        <w:t>VII | Comparabilidad contextual con Rionegro</w:t>
      </w:r>
    </w:p>
    <w:p>
      <w:pPr>
        <w:pStyle w:val="Heading2"/>
      </w:pPr>
      <w:r>
        <w:rPr>
          <w:color w:val="1B4332"/>
        </w:rPr>
        <w:t>VIII | Conexión con las 4 preguntas empíricas</w:t>
      </w:r>
    </w:p>
    <w:p>
      <w:pPr>
        <w:pStyle w:val="Heading2"/>
      </w:pPr>
      <w:r>
        <w:rPr>
          <w:color w:val="1B4332"/>
        </w:rPr>
        <w:t>IX | Citas estratégicas categorizadas</w:t>
      </w:r>
    </w:p>
    <w:p>
      <w:pPr>
        <w:pStyle w:val="Heading3"/>
      </w:pPr>
      <w:r>
        <w:rPr>
          <w:color w:val="4A148C"/>
        </w:rPr>
        <w:t>Para Marco Teórico</w:t>
      </w:r>
    </w:p>
    <w:p>
      <w:pPr>
        <w:pStyle w:val="Heading3"/>
      </w:pPr>
      <w:r>
        <w:rPr>
          <w:color w:val="0D47A1"/>
        </w:rPr>
        <w:t>Para Metodología</w:t>
      </w:r>
    </w:p>
    <w:p>
      <w:pPr>
        <w:pStyle w:val="Heading3"/>
      </w:pPr>
      <w:r>
        <w:rPr>
          <w:color w:val="BF360C"/>
        </w:rPr>
        <w:t>Para Discusión</w:t>
      </w:r>
    </w:p>
    <w:p>
      <w:pPr>
        <w:pStyle w:val="Heading2"/>
      </w:pPr>
      <w:r>
        <w:rPr>
          <w:color w:val="1B4332"/>
        </w:rPr>
        <w:t>X | Vacíos estratégicos</w:t>
      </w:r>
    </w:p>
    <w:p/>
    <w:p>
      <w:pPr>
        <w:pStyle w:val="Heading2"/>
      </w:pPr>
      <w:r>
        <w:rPr>
          <w:color w:val="1B4332"/>
        </w:rPr>
        <w:t>XI | Evaluación final estratégica</w:t>
      </w:r>
    </w:p>
    <w:p>
      <w:r>
        <w:rPr>
          <w:b/>
          <w:color w:val="1B4332"/>
          <w:sz w:val="22"/>
        </w:rPr>
        <w:t xml:space="preserve">● CLASIFICACIÓN: </w:t>
      </w:r>
    </w:p>
    <w:tbl>
      <w:tblPr>
        <w:tblStyle w:val="TableGrid"/>
        <w:tblW w:type="auto" w:w="0"/>
        <w:tblLook w:firstColumn="1" w:firstRow="1" w:lastColumn="0" w:lastRow="0" w:noHBand="0" w:noVBand="1" w:val="04A0"/>
      </w:tblPr>
      <w:tblGrid>
        <w:gridCol w:w="9406"/>
      </w:tblGrid>
      <w:tr>
        <w:tc>
          <w:tcPr>
            <w:tcW w:type="dxa" w:w="9406"/>
            <w:shd w:val="clear" w:color="auto" w:fill="FFF8E1"/>
          </w:tcPr>
          <w:p/>
          <w:p/>
        </w:tc>
      </w:tr>
    </w:tbl>
    <w:p/>
    <w:p>
      <w:pPr>
        <w:jc w:val="right"/>
      </w:pPr>
      <w:r>
        <w:rPr>
          <w:i/>
          <w:color w:val="999999"/>
          <w:sz w:val="16"/>
        </w:rPr>
        <w:t>Ficha generada automáticamente · 09/04/2026 · Proyecto Capacidades Rionegro · PCF Wu et al. · v2</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