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Singh, M. K. (2023). What is state capacity and how does it matter for energy transition? Energy Policy, 183, 113799. https://doi.org/10.1016/j.enpol.2023.113799</w:t>
      </w:r>
    </w:p>
    <w:p>
      <w:pPr>
        <w:jc w:val="center"/>
      </w:pPr>
      <w:r>
        <w:rPr>
          <w:b/>
          <w:color w:val="1565C0"/>
          <w:sz w:val="22"/>
        </w:rPr>
        <w:t>● COMPLEMENTARIA ● Puntaje matriz: 16/27</w:t>
      </w:r>
    </w:p>
    <w:p/>
    <w:p>
      <w:pPr>
        <w:pStyle w:val="Heading1"/>
      </w:pPr>
      <w:r>
        <w:rPr>
          <w:color w:val="1B4332"/>
        </w:rPr>
        <w:t>PARTE I — FICHA GENÉRICA DEL ARTÍCULO</w:t>
      </w:r>
    </w:p>
    <w:p>
      <w:pPr>
        <w:pStyle w:val="Heading2"/>
      </w:pPr>
      <w:r>
        <w:rPr>
          <w:color w:val="1B4332"/>
        </w:rPr>
        <w:t>1 | Referencia bibliográfica (APA 7)</w:t>
      </w:r>
    </w:p>
    <w:p>
      <w:r>
        <w:rPr>
          <w:sz w:val="20"/>
        </w:rPr>
        <w:t>Singh, M. K. (2023). What is state capacity and how does it matter for energy transition? Energy Policy, 183, 113799. https://doi.org/10.1016/j.enpol.2023.113799</w:t>
      </w:r>
    </w:p>
    <w:p>
      <w:pPr>
        <w:pStyle w:val="Heading2"/>
      </w:pPr>
      <w:r>
        <w:rPr>
          <w:color w:val="1B4332"/>
        </w:rPr>
        <w:t>2 | Objetivo explícito del autor</w:t>
      </w:r>
    </w:p>
    <w:p>
      <w:r>
        <w:rPr>
          <w:sz w:val="20"/>
        </w:rPr>
        <w:t>El estudio busca abordar la brecha de conocimiento sobre capacidad estatal en la transición energética mediante una revisión de literatura altamente relevante para identificar variaciones conceptuales, componentes y factores que configuran la capacidad estatal. Además, desarrolla un marco conceptual novedoso que vincula la capacidad estatal con las políticas de transición energética.</w:t>
      </w:r>
    </w:p>
    <w:p>
      <w:pPr>
        <w:ind w:left="567" w:right="567"/>
      </w:pPr>
      <w:r>
        <w:rPr>
          <w:i/>
          <w:color w:val="444444"/>
          <w:sz w:val="19"/>
        </w:rPr>
        <w:t>""devise a novel conceptual framework by linking the concept of state capacity with the energy transition policy" (p. 1)"</w:t>
      </w:r>
    </w:p>
    <w:p>
      <w:pPr>
        <w:pStyle w:val="Heading2"/>
      </w:pPr>
      <w:r>
        <w:rPr>
          <w:color w:val="1B4332"/>
        </w:rPr>
        <w:t>3 | Pregunta de investigación</w:t>
      </w:r>
    </w:p>
    <w:p>
      <w:pPr>
        <w:ind w:left="567" w:right="567"/>
      </w:pPr>
      <w:r>
        <w:rPr>
          <w:i/>
          <w:color w:val="444444"/>
          <w:sz w:val="19"/>
        </w:rPr>
        <w:t>"¿Qué es la capacidad estatal y cómo importa para la transición energética? [pregunta implícita en el título del artículo]"</w:t>
      </w:r>
    </w:p>
    <w:p>
      <w:pPr>
        <w:pStyle w:val="Heading2"/>
      </w:pPr>
      <w:r>
        <w:rPr>
          <w:color w:val="1B4332"/>
        </w:rPr>
        <w:t>4 | Tesis central</w:t>
      </w:r>
    </w:p>
    <w:p>
      <w:r>
        <w:rPr>
          <w:sz w:val="20"/>
        </w:rPr>
        <w:t>Los marcos existentes de democracia energética y justicia energética dejan poco o nulo espacio para una discusión comprehensiva sobre capacidad estatal que es vital para una formulación exitosa de políticas de transición energética. La capacidad estatal, conceptualizada como una relación causal multidimensional entre políticas adoptadas y resultados pretendidos, es crucial para facilitar transformaciones energéticas efectivas. Un marco integrado de capacidad estatal y gobernanza de transición energética debe reconocer a los stakeholders como factor focal en una transición energética ciudadano-céntrica apoyada por el estado.</w:t>
      </w:r>
    </w:p>
    <w:p>
      <w:pPr>
        <w:ind w:left="567" w:right="567"/>
      </w:pPr>
      <w:r>
        <w:rPr>
          <w:i/>
          <w:color w:val="444444"/>
          <w:sz w:val="19"/>
        </w:rPr>
        <w:t>""existing concepts of energy democracy and energy justice leaves little room for comprehensive discussion on state capacity" (p. 1)"</w:t>
      </w:r>
    </w:p>
    <w:p>
      <w:pPr>
        <w:pStyle w:val="Heading2"/>
      </w:pPr>
      <w:r>
        <w:rPr>
          <w:color w:val="1B4332"/>
        </w:rPr>
        <w:t>5 | Marco teórico utilizado</w:t>
      </w:r>
    </w:p>
    <w:p>
      <w:r>
        <w:rPr>
          <w:sz w:val="20"/>
        </w:rPr>
        <w:t>1. Teoría de capacidad estatal multidimensional - basada en Hau (2012): incrustación externa, competencia organizacional, alcance territorial</w:t>
        <w:br/>
        <w:t>2. Marco de capacidad administrativa - Peters (2018): habilidad gubernamental para formulación, implementación y entrega de servicios</w:t>
        <w:br/>
        <w:t>3. Teoría de capacidad regulatoria - Andrews et al. (2018): regulación de actividades económicas y competencia de mercado</w:t>
        <w:br/>
        <w:t>4. Marco de capacidad coercitiva - Evans (2019): mantenimiento de ley, orden y protección de derechos ciudadanos</w:t>
        <w:br/>
        <w:t>5. Teoría de transición energética - Baker et al. (2020): cambios transformativos en sistemas energéticos</w:t>
        <w:br/>
        <w:t>6. Marco de democracia y justicia energética - Sovacool y Dworkin (2014): acceso equitativo a beneficios energéticos</w:t>
      </w:r>
    </w:p>
    <w:p>
      <w:pPr>
        <w:pStyle w:val="Heading2"/>
      </w:pPr>
      <w:r>
        <w:rPr>
          <w:color w:val="1B4332"/>
        </w:rPr>
        <w:t>7 | Conceptos clave</w:t>
      </w:r>
    </w:p>
    <w:p>
      <w:r>
        <w:rPr>
          <w:sz w:val="20"/>
        </w:rPr>
        <w:t>1. **Capacidad estatal**: "strength of the causal relationship between the policies that governments adopt and the outcomes that they intend to achieve" (Lindvall y Teorell, 2016) - p. 2</w:t>
        <w:br/>
        <w:t>2. **Capacidad administrativa**: "ability to efficiently manage its bureaucracy and implement policies and programs" (Bakvis y Brown, 2010) - p. 3</w:t>
        <w:br/>
        <w:t>3. **Capacidad regulatoria**: "government's ability to effectively regulate economic activities, protect consumers, and ensure fair competition in the market" (Andrews et al., 2018) - p. 3</w:t>
        <w:br/>
        <w:t>4. **Capacidad coercitiva**: "ability to maintain law and order and enforce laws and regulations" incluyendo policía, militar y agencias de aplicación (Evans, 2019) - p. 3</w:t>
        <w:br/>
        <w:t>5. **Transición energética**: "transformative changes in energy systems, including the shift from fossil fuels to renewable energy sources" (Baker et al., 2020) - p. 1</w:t>
        <w:br/>
        <w:t>6. **Capacidad de respuesta a emergencias**: habilidad gubernamental para "effectively mobilize resources, coordinate efforts, and provide assistance to affected populations" (Kelman et al., 2020) - p. 3</w:t>
      </w:r>
    </w:p>
    <w:p>
      <w:pPr>
        <w:pStyle w:val="Heading2"/>
      </w:pPr>
      <w:r>
        <w:rPr>
          <w:color w:val="1B4332"/>
        </w:rPr>
        <w:t>8 | Reconstrucción analítica del argumento</w:t>
      </w:r>
    </w:p>
    <w:p>
      <w:r>
        <w:rPr>
          <w:sz w:val="20"/>
        </w:rPr>
        <w:t>El autor argumenta que la literatura sobre democracia y justicia energética ha subestimado el rol crucial de la capacidad estatal en transiciones energéticas exitosas. Mediante revisión de literatura identifica cuatro componentes clave de capacidad estatal (administrativa, regulatoria, coercitiva, respuesta a emergencias) y propone que estos son fundamentales para ejecutar políticas y programas energéticos efectivamente. Los estudios comparativos muestran que la capacidad estatal mediada por instituciones políticas y económicas, con fuerte participación de stakeholders, aumenta la viabilidad política y legitimidad de las políticas. El mecanismo causal opera a través de la habilidad estatal para planificar, implementar y regular políticas de transición energética, facilitando o obstaculizando el proceso según la fortaleza de estas capacidades.</w:t>
      </w:r>
    </w:p>
    <w:p>
      <w:pPr>
        <w:pStyle w:val="Heading2"/>
      </w:pPr>
      <w:r>
        <w:rPr>
          <w:color w:val="1B4332"/>
        </w:rPr>
        <w:t>10 | Aportes principales</w:t>
      </w:r>
    </w:p>
    <w:p>
      <w:r>
        <w:rPr>
          <w:sz w:val="20"/>
        </w:rPr>
        <w:t>1. Desarrollo de marco conceptual novedoso integrando capacidad estatal con política de transición energética</w:t>
        <w:br/>
        <w:t>2. Identificación de brecha crítica en literatura de democracia y justicia energética respecto al rol de capacidad estatal</w:t>
        <w:br/>
        <w:t>3. Operacionalización de cuatro componentes clave de capacidad estatal aplicados específicamente a transición energética</w:t>
        <w:br/>
        <w:t>4. Síntesis de evidencia comparativa internacional sobre factores de capacidad estatal en transiciones energéticas exitosas</w:t>
        <w:br/>
        <w:t>5. Propuesta de enfoque ciudadano-céntrico que reconoce stakeholders como factor focal en transición energética</w:t>
      </w:r>
    </w:p>
    <w:p>
      <w:pPr>
        <w:pStyle w:val="Heading2"/>
      </w:pPr>
      <w:r>
        <w:rPr>
          <w:color w:val="1B4332"/>
        </w:rPr>
        <w:t>11 | Limitaciones</w:t>
      </w:r>
    </w:p>
    <w:p>
      <w:r>
        <w:rPr>
          <w:sz w:val="20"/>
        </w:rPr>
        <w:t>1. Escasez de literatura específica sobre capacidad estatal y transición energética (solo 6 documentos identificados en Scopus)</w:t>
        <w:br/>
        <w:t>2. Análisis principalmente conceptual sin validación empírica del marco propuesto</w:t>
        <w:br/>
        <w:t>3. Revisión limitada a literatura en inglés disponible en bases de datos académicas específicas</w:t>
        <w:br/>
        <w:t>4. Falta de operacionalización cuantitativa de los componentes de capacidad estatal propuestos</w:t>
      </w:r>
    </w:p>
    <w:p>
      <w:pPr>
        <w:pStyle w:val="Heading2"/>
      </w:pPr>
      <w:r>
        <w:rPr>
          <w:color w:val="1B4332"/>
        </w:rPr>
        <w:t>12 | Conexión con debates mayores</w:t>
      </w:r>
    </w:p>
    <w:p>
      <w:r>
        <w:rPr>
          <w:sz w:val="20"/>
        </w:rPr>
        <w:t>El artículo se conecta centralmente con debates sobre state capacity en ciencia política y administración pública, específicamente la conceptualización multidimensional de capacidad estatal de Hau (2012). Se vincula con literatura de policy capacity al examinar habilidades gubernamentales para formulación e implementación efectiva de políticas. Contribuye al debate sobre gobernanza multinivel al analizar casos de países federales como Alemania y Estados Unidos. Se relaciona con discusiones sobre democratización de políticas energéticas y participación ciudadana en transiciones sostenibles.</w:t>
      </w:r>
    </w:p>
    <w:p>
      <w:pPr>
        <w:pStyle w:val="Heading2"/>
      </w:pPr>
      <w:r>
        <w:rPr>
          <w:color w:val="1B4332"/>
        </w:rPr>
        <w:t>13 | Observaciones críticas propias</w:t>
      </w:r>
    </w:p>
    <w:p>
      <w:r>
        <w:rPr>
          <w:sz w:val="20"/>
        </w:rPr>
        <w:t>El estudio presenta tensiones no resueltas entre la conceptualización multidimensional de capacidad estatal y su aplicación específica a transición energética. Los autores asumen que mayor capacidad estatal necesariamente conduce a mejores resultados de transición energética sin problematizar posibles efectos contraproducentes o trade-offs. La propuesta de marco conceptual carece de especificación sobre mecanismos causales precisos y condiciones contextuales que moderarían la relación capacidad-resultados. Se sugiere extensión hacia análisis de capacidades subnacionales y exploración de factores institucionales específicos del sector energético.</w:t>
      </w:r>
    </w:p>
    <w:p>
      <w:pPr>
        <w:pStyle w:val="Heading2"/>
      </w:pPr>
      <w:r>
        <w:rPr>
          <w:color w:val="1B4332"/>
        </w:rPr>
        <w:t>6 | Tipo de investigación y metodología</w:t>
      </w:r>
    </w:p>
    <w:p>
      <w:r>
        <w:rPr>
          <w:b/>
          <w:sz w:val="20"/>
        </w:rPr>
        <w:t xml:space="preserve">Diseño: </w:t>
      </w:r>
      <w:r>
        <w:rPr>
          <w:sz w:val="20"/>
        </w:rPr>
        <w:t>Revisión sistemática de literatura</w:t>
      </w:r>
    </w:p>
    <w:p>
      <w:r>
        <w:rPr>
          <w:b/>
          <w:sz w:val="20"/>
        </w:rPr>
        <w:t xml:space="preserve">Universo: </w:t>
      </w:r>
      <w:r>
        <w:rPr>
          <w:sz w:val="20"/>
        </w:rPr>
        <w:t>Literatura académica sobre capacidad estatal y transición energética</w:t>
      </w:r>
    </w:p>
    <w:p>
      <w:r>
        <w:rPr>
          <w:b/>
          <w:sz w:val="20"/>
        </w:rPr>
        <w:t xml:space="preserve">Muestra: </w:t>
      </w:r>
      <w:r>
        <w:rPr>
          <w:sz w:val="20"/>
        </w:rPr>
        <w:t>476 artículos en Scopus (1976-2023), 6 documentos específicos sobre "state capacity" y "energy transition"</w:t>
      </w:r>
    </w:p>
    <w:p>
      <w:r>
        <w:rPr>
          <w:b/>
          <w:sz w:val="20"/>
        </w:rPr>
        <w:t xml:space="preserve">Instrumentos: </w:t>
      </w:r>
      <w:r>
        <w:rPr>
          <w:sz w:val="20"/>
        </w:rPr>
        <w:t>Búsqueda por palabras clave en bases Scopus y Google Scholar</w:t>
      </w:r>
    </w:p>
    <w:p>
      <w:r>
        <w:rPr>
          <w:b/>
          <w:sz w:val="20"/>
        </w:rPr>
        <w:t xml:space="preserve">Variable dependiente: </w:t>
      </w:r>
      <w:r>
        <w:rPr>
          <w:sz w:val="20"/>
        </w:rPr>
        <w:t>Capacidad estatal para transición energética</w:t>
      </w:r>
    </w:p>
    <w:p>
      <w:r>
        <w:rPr>
          <w:b/>
          <w:sz w:val="20"/>
        </w:rPr>
        <w:t xml:space="preserve">Variables independientes: </w:t>
      </w:r>
      <w:r>
        <w:rPr>
          <w:sz w:val="20"/>
        </w:rPr>
        <w:t>No aplica (estudio conceptual)</w:t>
      </w:r>
    </w:p>
    <w:p>
      <w:r>
        <w:rPr>
          <w:b/>
          <w:sz w:val="20"/>
        </w:rPr>
        <w:t xml:space="preserve">Análisis: </w:t>
      </w:r>
      <w:r>
        <w:rPr>
          <w:sz w:val="20"/>
        </w:rPr>
        <w:t>Revisión en profundidad de literatura más citada y reciente</w:t>
      </w:r>
    </w:p>
    <w:p>
      <w:r>
        <w:rPr>
          <w:b/>
          <w:sz w:val="20"/>
        </w:rPr>
        <w:t xml:space="preserve">País/Nivel de gobierno: </w:t>
      </w:r>
      <w:r>
        <w:rPr>
          <w:sz w:val="20"/>
        </w:rPr>
        <w:t>Análisis comparativo (Alemania, Reino Unido, Estados Unidos, países europeos, Sudáfrica)</w:t>
      </w:r>
    </w:p>
    <w:p>
      <w:pPr>
        <w:pStyle w:val="Heading2"/>
      </w:pPr>
      <w:r>
        <w:rPr>
          <w:color w:val="1B4332"/>
        </w:rPr>
        <w:t>9 | Evidencia empírica / estadística</w:t>
      </w:r>
    </w:p>
    <w:p>
      <w:r>
        <w:rPr>
          <w:sz w:val="20"/>
        </w:rPr>
        <w:t>Evidencia de estudios de caso comparativos: Alemania vs Reino Unido en eliminación de carbón muestra mayor capacidad estatal cuando instituciones median fuertemente la interacción gobierno-stakeholder. Comparación Alemania-Estados Unidos en vehículos eléctricos revela que burocracia autónoma es insuficiente sin intermediación sectorial. Análisis de seis países europeos indica que capacidad estatal, bloqueo tecnológico y dependencia de importación eléctrica son instrumentales para adopción de energía eólica y solar. Proyectos sudafricanos sugieren enfoque orientado a misiones con capacidad gubernamental efectiva impacta ritmo, escala y éxito de transición.</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Singh desarrolla un argumento convincente sobre la importancia subestimada de la capacidad estatal en transiciones energéticas exitosas, identificando una brecha crítica en los marcos dominantes de democracia y justicia energética. Su propuesta de marco conceptual integrando cuatro componentes de capacidad estatal (administrativa, regulatoria, coercitiva, respuesta a emergencias) con políticas de transición energética ofrece una base teórica sólida para futuras investigaciones. La evidencia comparativa internacional respalda la centralidad de instituciones mediadoras y participación de stakeholders en el éxito de políticas de transición. Sin embargo, la naturaleza principalmente conceptual del estudio limita su aplicabilidad práctica inmediata. El trabajo establece fundamentos importantes para una agenda de investigación que examine empíricamente cómo diferentes configuraciones de capacidad estatal facilitan u obstaculizan transiciones energéticas en contextos variados. La relevancia del estudio es alta dado el imperativo global de acelerar transiciones hacia sistemas energéticos sostenibles y la necesidad de comprender mejor los factores institucionales que determinan el éxito de estas transformaciones.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 xml:space="preserve">Propone capacidad analítica como evaluación técnica basada en evidencia para políticas de </w:t>
            </w:r>
          </w:p>
        </w:tc>
        <w:tc>
          <w:tcPr>
            <w:tcW w:type="dxa" w:w="2351"/>
            <w:shd w:val="clear" w:color="auto" w:fill="FFF9C4"/>
          </w:tcPr>
          <w:p>
            <w:r>
              <w:rPr>
                <w:b/>
                <w:color w:val="F57F17"/>
                <w:sz w:val="16"/>
              </w:rPr>
              <w:t xml:space="preserve">[1] </w:t>
            </w:r>
            <w:r>
              <w:rPr>
                <w:sz w:val="14"/>
              </w:rPr>
              <w:t>Alude a liderazgo y gestión gubernamental pero sin operacionalización específica</w:t>
            </w:r>
          </w:p>
        </w:tc>
        <w:tc>
          <w:tcPr>
            <w:tcW w:type="dxa" w:w="2351"/>
            <w:shd w:val="clear" w:color="auto" w:fill="FFF9C4"/>
          </w:tcPr>
          <w:p>
            <w:r>
              <w:rPr>
                <w:b/>
                <w:color w:val="F57F17"/>
                <w:sz w:val="16"/>
              </w:rPr>
              <w:t xml:space="preserve">[1] </w:t>
            </w:r>
            <w:r>
              <w:rPr>
                <w:sz w:val="14"/>
              </w:rPr>
              <w:t>Menciona participación de stakeholders pero no desarrolla habilidades políticas individual</w:t>
            </w:r>
          </w:p>
        </w:tc>
      </w:tr>
      <w:tr>
        <w:tc>
          <w:tcPr>
            <w:tcW w:type="dxa" w:w="2351"/>
            <w:shd w:val="clear" w:color="auto" w:fill="D8F3DC"/>
          </w:tcPr>
          <w:p>
            <w:r>
              <w:rPr>
                <w:b/>
                <w:sz w:val="16"/>
              </w:rPr>
              <w:t>ORGANIZACIONAL</w:t>
            </w:r>
          </w:p>
        </w:tc>
        <w:tc>
          <w:tcPr>
            <w:tcW w:type="dxa" w:w="2351"/>
            <w:shd w:val="clear" w:color="auto" w:fill="FFF9C4"/>
          </w:tcPr>
          <w:p>
            <w:r>
              <w:rPr>
                <w:b/>
                <w:color w:val="F57F17"/>
                <w:sz w:val="16"/>
              </w:rPr>
              <w:t xml:space="preserve">[1] </w:t>
            </w:r>
            <w:r>
              <w:rPr>
                <w:sz w:val="14"/>
              </w:rPr>
              <w:t>Menciona infraestructura institucional pero no desarrolla mecanismos organizacionales espe</w:t>
            </w:r>
          </w:p>
        </w:tc>
        <w:tc>
          <w:tcPr>
            <w:tcW w:type="dxa" w:w="2351"/>
            <w:shd w:val="clear" w:color="auto" w:fill="2E7D32"/>
          </w:tcPr>
          <w:p>
            <w:r>
              <w:rPr>
                <w:b/>
                <w:color w:val="FFFFFF"/>
                <w:sz w:val="16"/>
              </w:rPr>
              <w:t xml:space="preserve">[3] </w:t>
            </w:r>
            <w:r>
              <w:rPr>
                <w:sz w:val="14"/>
              </w:rPr>
              <w:t>Desarrolla extensamente capacidad administrativa: gestión burocrática, coordinación y entr</w:t>
            </w:r>
          </w:p>
        </w:tc>
        <w:tc>
          <w:tcPr>
            <w:tcW w:type="dxa" w:w="2351"/>
            <w:shd w:val="clear" w:color="auto" w:fill="C8E6C9"/>
          </w:tcPr>
          <w:p>
            <w:r>
              <w:rPr>
                <w:b/>
                <w:color w:val="2E7D32"/>
                <w:sz w:val="16"/>
              </w:rPr>
              <w:t xml:space="preserve">[2] </w:t>
            </w:r>
            <w:r>
              <w:rPr>
                <w:sz w:val="14"/>
              </w:rPr>
              <w:t>Desarrolla capacidad de coordinación entre actores estatales y no estatales, reputación in</w:t>
            </w:r>
          </w:p>
        </w:tc>
      </w:tr>
      <w:tr>
        <w:tc>
          <w:tcPr>
            <w:tcW w:type="dxa" w:w="2351"/>
            <w:shd w:val="clear" w:color="auto" w:fill="D8F3DC"/>
          </w:tcPr>
          <w:p>
            <w:r>
              <w:rPr>
                <w:b/>
                <w:sz w:val="16"/>
              </w:rPr>
              <w:t>SISTÉMICO</w:t>
            </w:r>
          </w:p>
        </w:tc>
        <w:tc>
          <w:tcPr>
            <w:tcW w:type="dxa" w:w="2351"/>
            <w:shd w:val="clear" w:color="auto" w:fill="FFF9C4"/>
          </w:tcPr>
          <w:p>
            <w:r>
              <w:rPr>
                <w:b/>
                <w:color w:val="F57F17"/>
                <w:sz w:val="16"/>
              </w:rPr>
              <w:t xml:space="preserve">[1] </w:t>
            </w:r>
            <w:r>
              <w:rPr>
                <w:sz w:val="14"/>
              </w:rPr>
              <w:t>Referencias tangenciales a datos nacionales y marcos estadísticos para transición energéti</w:t>
            </w:r>
          </w:p>
        </w:tc>
        <w:tc>
          <w:tcPr>
            <w:tcW w:type="dxa" w:w="2351"/>
            <w:shd w:val="clear" w:color="auto" w:fill="C8E6C9"/>
          </w:tcPr>
          <w:p>
            <w:r>
              <w:rPr>
                <w:b/>
                <w:color w:val="2E7D32"/>
                <w:sz w:val="16"/>
              </w:rPr>
              <w:t xml:space="preserve">[2] </w:t>
            </w:r>
            <w:r>
              <w:rPr>
                <w:sz w:val="14"/>
              </w:rPr>
              <w:t>Conceptualiza relaciones intergubernamentales y marcos regulatorios como componentes clave</w:t>
            </w:r>
          </w:p>
        </w:tc>
        <w:tc>
          <w:tcPr>
            <w:tcW w:type="dxa" w:w="2351"/>
            <w:shd w:val="clear" w:color="auto" w:fill="2E7D32"/>
          </w:tcPr>
          <w:p>
            <w:r>
              <w:rPr>
                <w:b/>
                <w:color w:val="FFFFFF"/>
                <w:sz w:val="16"/>
              </w:rPr>
              <w:t xml:space="preserve">[3] </w:t>
            </w:r>
            <w:r>
              <w:rPr>
                <w:sz w:val="14"/>
              </w:rPr>
              <w:t>Extenso desarrollo de legitimidad, confianza pública y rendición de cuentas como dimension</w:t>
            </w:r>
          </w:p>
        </w:tc>
      </w:tr>
    </w:tbl>
    <w:p/>
    <w:p>
      <w:r>
        <w:rPr>
          <w:sz w:val="18"/>
        </w:rPr>
        <w:t>AI: 2 | Propone capacidad analítica como evaluación técnica basada en evidencia para políticas de transición energética</w:t>
        <w:br/>
        <w:t xml:space="preserve">AO: 1 | Menciona infraestructura institucional pero no desarrolla mecanismos organizacionales específicos  </w:t>
        <w:br/>
        <w:t>AS: 1 | Referencias tangenciales a datos nacionales y marcos estadísticos para transición energética</w:t>
        <w:br/>
        <w:t>OI: 1 | Alude a liderazgo y gestión gubernamental pero sin operacionalización específica</w:t>
        <w:br/>
        <w:t>OO: 3 | Desarrolla extensamente capacidad administrativa: gestión burocrática, coordinación y entrega de servicios públicos</w:t>
        <w:br/>
        <w:t>OS: 2 | Conceptualiza relaciones intergubernamentales y marcos regulatorios como componentes clave de capacidad estatal</w:t>
        <w:br/>
        <w:t>PI: 1 | Menciona participación de stakeholders pero no desarrolla habilidades políticas individuales</w:t>
        <w:br/>
        <w:t>PO: 2 | Desarrolla capacidad de coordinación entre actores estatales y no estatales, reputación institucional</w:t>
        <w:br/>
        <w:t>PS: 3 | Extenso desarrollo de legitimidad, confianza pública y rendición de cuentas como dimensiones centrales</w:t>
        <w:br/>
        <w:br/>
        <w:t>CELDAS_PRINCIPALES: OO, PS, OS</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 xml:space="preserve">REFORMA ESTRUCTURAL: </w:t>
              <w:br/>
              <w:t>- Fortalecimiento de capacidad administrativa gubernamental</w:t>
              <w:br/>
              <w:t>- Desarrollo de marcos regulatorios para transición energética</w:t>
              <w:br/>
              <w:t>- Creación de mecanismos de coordinación interinstitucional</w:t>
              <w:br/>
              <w:br/>
              <w:t>ANCLAJE BLANDO:</w:t>
              <w:br/>
              <w:t>- Participación de stakeholders en formulación de políticas</w:t>
              <w:br/>
              <w:t>- Transferencia de conocimiento técnico sobre energías renovables</w:t>
              <w:br/>
              <w:br/>
              <w:t>No describe intervenciones específicas de capacity building — enfoque principalmente conceptual</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Fortalecimiento institucional → mayor capacidad administrativa → mejora en OO → moderado por recursos financieros disponibles</w:t>
              <w:br/>
              <w:br/>
              <w:t>Participación de stakeholders → legitimidad política → aumento en PS → moderado por estabilidad política</w:t>
              <w:br/>
              <w:br/>
              <w:t>Desarrollo regulatorio → capacidad de enforcement → mejora en OS → moderado por calidad de instituciones existentes</w:t>
              <w:br/>
              <w:br/>
              <w:t>Inversión en capacidad técnica → análisis basado en evidencia → aumento en AI → moderado por competencia de funcionarios públicos</w:t>
            </w:r>
          </w:p>
        </w:tc>
      </w:tr>
    </w:tbl>
    <w:p/>
    <w:p>
      <w:pPr>
        <w:pStyle w:val="Heading2"/>
      </w:pPr>
      <w:r>
        <w:rPr>
          <w:color w:val="1B4332"/>
        </w:rPr>
        <w:t>VI | Condiciones estructurales (facilitadoras/inhibidoras)</w:t>
      </w:r>
    </w:p>
    <w:p>
      <w:r>
        <w:rPr>
          <w:sz w:val="20"/>
        </w:rPr>
        <w:t>FACILITADORES:</w:t>
        <w:br/>
        <w:t>- Estabilidad política: Ambiente político estable permite construcción sostenida de capacidad estatal</w:t>
        <w:br/>
        <w:t xml:space="preserve">- Recursos económicos: Disponibilidad de recursos facilita inversión en capacidad administrativa y regulatoria  </w:t>
        <w:br/>
        <w:t>- Instituciones fuertes: Marcos institucionales sólidos promueven transparencia y accountability</w:t>
        <w:br/>
        <w:t>- Coordinación stakeholders: Participación activa de actores no estatales fortalece legitimidad</w:t>
        <w:br/>
        <w:br/>
        <w:t>INHIBIDORES:</w:t>
        <w:br/>
        <w:t>- Legados coloniales: Estructuras institucionales extractivas limitan desarrollo de capacidad estatal</w:t>
        <w:br/>
        <w:t>- Inestabilidad política: Rotación de liderazgo y falta de continuidad erosionan capacidad construida</w:t>
        <w:br/>
        <w:t>- Recursos limitados: Restricciones presupuestarias impiden inversión en fortalecimiento institucional</w:t>
        <w:br/>
        <w:t>- Corrupción: Prácticas corruptas socavan confianza pública y efectividad gubernamental</w:t>
      </w:r>
    </w:p>
    <w:p>
      <w:pPr>
        <w:pStyle w:val="Heading2"/>
      </w:pPr>
      <w:r>
        <w:rPr>
          <w:color w:val="1B4332"/>
        </w:rPr>
        <w:t>VII | Comparabilidad contextual con Rionegro</w:t>
      </w:r>
    </w:p>
    <w:p>
      <w:r>
        <w:rPr>
          <w:b/>
          <w:sz w:val="20"/>
        </w:rPr>
        <w:t xml:space="preserve">País: </w:t>
      </w:r>
      <w:r>
        <w:rPr>
          <w:sz w:val="20"/>
        </w:rPr>
        <w:t>India (caso implícito, autor afiliado)</w:t>
      </w:r>
    </w:p>
    <w:p>
      <w:r>
        <w:rPr>
          <w:b/>
          <w:sz w:val="20"/>
        </w:rPr>
        <w:t xml:space="preserve">Nivel de gobierno: </w:t>
      </w:r>
      <w:r>
        <w:rPr>
          <w:sz w:val="20"/>
        </w:rPr>
        <w:t>Nacional con implicaciones subnacionales</w:t>
      </w:r>
    </w:p>
    <w:p>
      <w:r>
        <w:rPr>
          <w:b/>
          <w:sz w:val="20"/>
        </w:rPr>
        <w:t xml:space="preserve">Tamaño del gobierno: </w:t>
      </w:r>
      <w:r>
        <w:rPr>
          <w:sz w:val="20"/>
        </w:rPr>
        <w:t>Grande</w:t>
      </w:r>
    </w:p>
    <w:p>
      <w:r>
        <w:rPr>
          <w:b/>
          <w:sz w:val="20"/>
        </w:rPr>
        <w:t xml:space="preserve">Ingreso/Categoría fiscal: </w:t>
      </w:r>
      <w:r>
        <w:rPr>
          <w:sz w:val="20"/>
        </w:rPr>
        <w:t>Medio</w:t>
      </w:r>
    </w:p>
    <w:p>
      <w:r>
        <w:rPr>
          <w:b/>
          <w:sz w:val="20"/>
        </w:rPr>
        <w:t xml:space="preserve">Tipo de régimen burocrático: </w:t>
      </w:r>
      <w:r>
        <w:rPr>
          <w:sz w:val="20"/>
        </w:rPr>
        <w:t>Híbrido con elementos weberianos</w:t>
      </w:r>
    </w:p>
    <w:p>
      <w:r>
        <w:rPr>
          <w:b/>
          <w:sz w:val="20"/>
        </w:rPr>
        <w:t xml:space="preserve">Sector de política: </w:t>
      </w:r>
      <w:r>
        <w:rPr>
          <w:sz w:val="20"/>
        </w:rPr>
        <w:t>Energético/Transición energética</w:t>
      </w:r>
    </w:p>
    <w:p>
      <w:r>
        <w:rPr>
          <w:b/>
          <w:sz w:val="20"/>
        </w:rPr>
        <w:t xml:space="preserve">Comparabilidad con Rionegro: </w:t>
      </w:r>
      <w:r>
        <w:rPr>
          <w:sz w:val="20"/>
        </w:rPr>
        <w:t>Media</w:t>
      </w:r>
    </w:p>
    <w:p>
      <w:r>
        <w:rPr>
          <w:b/>
          <w:sz w:val="20"/>
        </w:rPr>
        <w:t xml:space="preserve">Justificación: </w:t>
      </w:r>
      <w:r>
        <w:rPr>
          <w:sz w:val="20"/>
        </w:rPr>
        <w:t>Marco conceptual aplicable pero contexto de transición energética específico difiere del enfoque multisectorial de Rionegro</w:t>
      </w:r>
    </w:p>
    <w:p>
      <w:pPr>
        <w:pStyle w:val="Heading2"/>
      </w:pPr>
      <w:r>
        <w:rPr>
          <w:color w:val="1B4332"/>
        </w:rPr>
        <w:t>VIII | Conexión con las 4 preguntas empíricas</w:t>
      </w:r>
    </w:p>
    <w:p>
      <w:r>
        <w:rPr>
          <w:sz w:val="20"/>
        </w:rPr>
        <w:t>P1 — Anclaje duro → nivel organizacional: Enfatiza capacidad administrativa organizacional como fundamental</w:t>
      </w:r>
      <w:r>
        <w:rPr>
          <w:b/>
          <w:color w:val="2E7D32"/>
          <w:sz w:val="20"/>
        </w:rPr>
        <w:t xml:space="preserve">  →  Soporta</w:t>
      </w:r>
    </w:p>
    <w:p>
      <w:r>
        <w:rPr>
          <w:sz w:val="20"/>
        </w:rPr>
        <w:t>P2 — Intervenciones blandas → individual/político: Destaca participación stakeholders pero no desarrolla suficiente</w:t>
      </w:r>
      <w:r>
        <w:rPr>
          <w:b/>
          <w:sz w:val="20"/>
        </w:rPr>
        <w:t xml:space="preserve">  →  No aplica</w:t>
      </w:r>
    </w:p>
    <w:p>
      <w:r>
        <w:rPr>
          <w:sz w:val="20"/>
        </w:rPr>
        <w:t>P3 — Inercia dimensional → restricciones estructurales: Identifica legados históricos como restricciones persistentes</w:t>
      </w:r>
      <w:r>
        <w:rPr>
          <w:b/>
          <w:color w:val="2E7D32"/>
          <w:sz w:val="20"/>
        </w:rPr>
        <w:t xml:space="preserve">  →  Soporta</w:t>
      </w:r>
    </w:p>
    <w:p>
      <w:r>
        <w:rPr>
          <w:sz w:val="20"/>
        </w:rPr>
        <w:t>P4 — Apropiación superficial vs. real: No aborda mecanismos de medición de profundidad vs superficialidad</w:t>
      </w:r>
      <w:r>
        <w:rPr>
          <w:b/>
          <w:sz w:val="20"/>
        </w:rPr>
        <w:t xml:space="preserve">  →  No aplica</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""State capacity can be defined as the strength of the causal relationship between policies adopted and intended outcomes" (p.2)"</w:t>
      </w:r>
    </w:p>
    <w:p>
      <w:pPr>
        <w:ind w:left="567" w:right="567"/>
      </w:pPr>
      <w:r>
        <w:rPr>
          <w:i/>
          <w:color w:val="444444"/>
          <w:sz w:val="19"/>
        </w:rPr>
        <w:t>""Administrative capacity refers to ability to efficiently manage bureaucracy and implement policies and programs" (p.2)"</w:t>
      </w:r>
    </w:p>
    <w:p>
      <w:pPr>
        <w:ind w:left="567" w:right="567"/>
      </w:pPr>
      <w:r>
        <w:rPr>
          <w:i/>
          <w:color w:val="444444"/>
          <w:sz w:val="19"/>
        </w:rPr>
        <w:t>""Strong state capacity allows incorporation of social and environmental considerations into policy decisions" (p.1)"</w:t>
      </w:r>
    </w:p>
    <w:p>
      <w:pPr>
        <w:pStyle w:val="Heading3"/>
      </w:pPr>
      <w:r>
        <w:rPr>
          <w:color w:val="0D47A1"/>
        </w:rPr>
        <w:t>Para Metodología</w:t>
      </w:r>
    </w:p>
    <w:p>
      <w:pPr>
        <w:ind w:left="567" w:right="567"/>
      </w:pPr>
      <w:r>
        <w:rPr>
          <w:i/>
          <w:color w:val="444444"/>
          <w:sz w:val="19"/>
        </w:rPr>
        <w:t>""Literature search yielded only six documents on 'state capacity' and 'energy transition' indicating knowledge dearth" (p.1)"</w:t>
      </w:r>
    </w:p>
    <w:p>
      <w:pPr>
        <w:ind w:left="567" w:right="567"/>
      </w:pPr>
      <w:r>
        <w:rPr>
          <w:i/>
          <w:color w:val="444444"/>
          <w:sz w:val="19"/>
        </w:rPr>
        <w:t>""Multi-dimensional concept disaggregated into external embeddedness, organizational competence, and territorial reach" (p.2)"</w:t>
      </w:r>
    </w:p>
    <w:p>
      <w:pPr>
        <w:pStyle w:val="Heading3"/>
      </w:pPr>
      <w:r>
        <w:rPr>
          <w:color w:val="BF360C"/>
        </w:rPr>
        <w:t>Para Discusión</w:t>
      </w:r>
    </w:p>
    <w:p>
      <w:pPr>
        <w:ind w:left="567" w:right="567"/>
      </w:pPr>
      <w:r>
        <w:rPr>
          <w:i/>
          <w:color w:val="444444"/>
          <w:sz w:val="19"/>
        </w:rPr>
        <w:t>""Without sufficient state capacity, policies may fail to achieve intended objectives or have unintended consequences" (p.2)"</w:t>
      </w:r>
    </w:p>
    <w:p>
      <w:pPr>
        <w:ind w:left="567" w:right="567"/>
      </w:pPr>
      <w:r>
        <w:rPr>
          <w:i/>
          <w:color w:val="444444"/>
          <w:sz w:val="19"/>
        </w:rPr>
        <w:t>""Weak state capacity can result in inadequate service delivery and inefficiencies in resource allocation" (p.3)"</w:t>
      </w:r>
    </w:p>
    <w:p>
      <w:pPr>
        <w:ind w:left="567" w:right="567"/>
      </w:pPr>
      <w:r>
        <w:rPr>
          <w:i/>
          <w:color w:val="444444"/>
          <w:sz w:val="19"/>
        </w:rPr>
        <w:t>""Strong institutions provide conducive environment for effective policy implementation and service delivery" (p.2)"</w:t>
      </w:r>
    </w:p>
    <w:p>
      <w:pPr>
        <w:pStyle w:val="Heading2"/>
      </w:pPr>
      <w:r>
        <w:rPr>
          <w:color w:val="1B4332"/>
        </w:rPr>
        <w:t>X | Vacíos estratégicos</w:t>
      </w:r>
    </w:p>
    <w:p>
      <w:r>
        <w:rPr>
          <w:sz w:val="20"/>
        </w:rPr>
        <w:t>1. No operacionaliza indicadores específicos para medir las dimensiones de capacidad estatal propuestas</w:t>
        <w:br/>
        <w:t>2. Carece de evidencia empírica sobre efectividad de intervenciones de fortalecimiento de capacidad</w:t>
        <w:br/>
        <w:t>3. No aborda específicamente contextos de alta dependencia de contratistas</w:t>
        <w:br/>
        <w:t>4. Ausencia de instrumentos de medición para evaluar profundidad vs superficialidad de capacidades</w:t>
        <w:br/>
        <w:t>5. No considera dinámicas de rotación de personal y sostenibilidad de capacidades construidas</w:t>
        <w:br/>
        <w:t>6. Falta análisis de cómo diferentes tipos de intervención afectan distintos niveles de la matriz PCF</w:t>
      </w:r>
    </w:p>
    <w:p>
      <w:pPr>
        <w:pStyle w:val="Heading2"/>
      </w:pPr>
      <w:r>
        <w:rPr>
          <w:color w:val="1B4332"/>
        </w:rPr>
        <w:t>XI | Evaluación final estratégica</w:t>
      </w:r>
    </w:p>
    <w:p>
      <w:r>
        <w:rPr>
          <w:b/>
          <w:color w:val="1565C0"/>
          <w:sz w:val="22"/>
        </w:rPr>
        <w:t>● CLASIFICACIÓN: COMPLEMENTARIA</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hace una contribución complementaria al proyecto de Rionegro al proporcionar un marco conceptual sólido para entender la capacidad estatal, especialmente en las dimensiones organizacional y sistémica de la matriz PCF. Su principal aporte radica en el desarrollo teórico de capacidad administrativa (OO) y legitimidad/confianza pública (PS), dimensiones centrales para gobiernos municipales. Sin embargo, su enfoque sectorial específico en transición energética y ausencia de indicadores operacionalizables limita su aplicabilidad directa. Para Rionegro, resulta útil como fundamento conceptual para entender las restricciones estructurales que enfrentan los gobiernos subnacionales, particularmente en términos de coordinación interinstitucional y construcción de legitimidad. El artículo refuerza la importancia de considerar factores histórico-institucionales como moderadores de la efectividad de intervenciones de capacity building, aspecto relevante para el análisis de un municipio con alta dependencia de contratistas.</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