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Wu, X., Ramesh, M., &amp; Howlett, M. (2015). Policy capacity: A conceptual framework for understanding policy competences and capabilities. Policy and Society, 34(3-4), 165-171. https://doi.org/10.1016/j.polsoc.2015.09.001</w:t>
      </w:r>
    </w:p>
    <w:p>
      <w:pPr>
        <w:jc w:val="center"/>
      </w:pPr>
      <w:r>
        <w:rPr>
          <w:b/>
          <w:color w:val="1B5E20"/>
          <w:sz w:val="22"/>
        </w:rPr>
        <w:t>● FUNDAMENTAL ● Puntaje matriz: 19/27</w:t>
      </w:r>
    </w:p>
    <w:p/>
    <w:p>
      <w:pPr>
        <w:pStyle w:val="Heading1"/>
      </w:pPr>
      <w:r>
        <w:rPr>
          <w:color w:val="1B4332"/>
        </w:rPr>
        <w:t>PARTE I — FICHA GENÉRICA DEL ARTÍCULO</w:t>
      </w:r>
    </w:p>
    <w:p>
      <w:pPr>
        <w:pStyle w:val="Heading2"/>
      </w:pPr>
      <w:r>
        <w:rPr>
          <w:color w:val="1B4332"/>
        </w:rPr>
        <w:t>1 | Referencia bibliográfica (APA 7)</w:t>
      </w:r>
    </w:p>
    <w:p>
      <w:r>
        <w:rPr>
          <w:sz w:val="20"/>
        </w:rPr>
        <w:t>Wu, X., Ramesh, M., &amp; Howlett, M. (2015). Policy capacity: A conceptual framework for understanding policy competences and capabilities. Policy and Society, 34(3-4), 165-171. https://doi.org/10.1016/j.polsoc.2015.09.001</w:t>
      </w:r>
    </w:p>
    <w:p>
      <w:pPr>
        <w:pStyle w:val="Heading2"/>
      </w:pPr>
      <w:r>
        <w:rPr>
          <w:color w:val="1B4332"/>
        </w:rPr>
        <w:t>2 | Objetivo explícito del autor</w:t>
      </w:r>
    </w:p>
    <w:p>
      <w:r>
        <w:rPr>
          <w:sz w:val="20"/>
        </w:rPr>
        <w:t>Este artículo busca desarrollar un marco conceptual sistemático para analizar y medir la capacidad de política pública. Los autores pretenden llenar el vacío existente en la literatura mediante la creación de una definición operacional práctica que sintetice las diversas perspectivas teóricas sobre capacidad estatal.</w:t>
      </w:r>
    </w:p>
    <w:p>
      <w:pPr>
        <w:ind w:left="567" w:right="567"/>
      </w:pPr>
      <w:r>
        <w:rPr>
          <w:i/>
          <w:color w:val="444444"/>
          <w:sz w:val="19"/>
        </w:rPr>
        <w:t>""This article serves to fill this gap and introduces a framework for analysing policy capacity" (p. 167)"</w:t>
      </w:r>
    </w:p>
    <w:p>
      <w:pPr>
        <w:pStyle w:val="Heading2"/>
      </w:pPr>
      <w:r>
        <w:rPr>
          <w:color w:val="1B4332"/>
        </w:rPr>
        <w:t>3 | Pregunta de investigación</w:t>
      </w:r>
    </w:p>
    <w:p>
      <w:pPr>
        <w:ind w:left="567" w:right="567"/>
      </w:pPr>
      <w:r>
        <w:rPr>
          <w:i/>
          <w:color w:val="444444"/>
          <w:sz w:val="19"/>
        </w:rPr>
        <w:t>"¿Cómo puede definirse y operacionalizarse la capacidad de política pública de manera sistemática para superar las limitaciones de los enfoques fragmentados existentes en la literatura?"</w:t>
      </w:r>
    </w:p>
    <w:p>
      <w:pPr>
        <w:pStyle w:val="Heading2"/>
      </w:pPr>
      <w:r>
        <w:rPr>
          <w:color w:val="1B4332"/>
        </w:rPr>
        <w:t>4 | Tesis central</w:t>
      </w:r>
    </w:p>
    <w:p>
      <w:r>
        <w:rPr>
          <w:sz w:val="20"/>
        </w:rPr>
        <w:t>La capacidad de política pública debe conceptualizarse como el conjunto de competencias (habilidades analíticas, operacionales y políticas) y capacidades (recursos a nivel individual, organizacional y sistémico) necesarias para el desempeño efectivo de las funciones de política pública. Esta matriz de 3x3 genera nueve tipos básicos de capacidad relevantes para las políticas. Los fracasos de política frecuentemente resultan de atención desequilibrada a estos nueve componentes diferentes de capacidad.</w:t>
      </w:r>
    </w:p>
    <w:p>
      <w:pPr>
        <w:ind w:left="567" w:right="567"/>
      </w:pPr>
      <w:r>
        <w:rPr>
          <w:i/>
          <w:color w:val="444444"/>
          <w:sz w:val="19"/>
        </w:rPr>
        <w:t>""Policy capacity refers to the competencies and capabilities important to policy-making" (p. 165)"</w:t>
      </w:r>
    </w:p>
    <w:p>
      <w:pPr>
        <w:pStyle w:val="Heading2"/>
      </w:pPr>
      <w:r>
        <w:rPr>
          <w:color w:val="1B4332"/>
        </w:rPr>
        <w:t>5 | Marco teórico utilizado</w:t>
      </w:r>
    </w:p>
    <w:p>
      <w:r>
        <w:rPr>
          <w:sz w:val="20"/>
        </w:rPr>
        <w:t>1. **Marco de Capacidad de Política Pública (Wu, Ramesh, Howlett)** - Marco original propuesto que combina tres competencias con tres niveles de recursos</w:t>
        <w:br/>
        <w:t>2. **Triángulo Estratégico de Moore (1995)** - Valor público, legitimidad y apoyo, y capacidad organizacional</w:t>
        <w:br/>
        <w:t>3. **Enfoques de Gobernanza** - Perspectivas que enfatizan precondiciones sistémicas y estructurales del buen gobierno</w:t>
        <w:br/>
        <w:t>4. **Gestión Pública** - Enfoques centrados en habilidades específicas como asesoría de políticas y toma de decisiones</w:t>
        <w:br/>
        <w:t>5. **Capacidad de Gobierno vs. Capacidad de Gobernanza** - Distinción entre capacidades gubernamentales y del sistema más amplio</w:t>
      </w:r>
    </w:p>
    <w:p>
      <w:pPr>
        <w:pStyle w:val="Heading2"/>
      </w:pPr>
      <w:r>
        <w:rPr>
          <w:color w:val="1B4332"/>
        </w:rPr>
        <w:t>7 | Conceptos clave</w:t>
      </w:r>
    </w:p>
    <w:p>
      <w:r>
        <w:rPr>
          <w:sz w:val="20"/>
        </w:rPr>
        <w:t>1. **Capacidad de Política Pública** - "El conjunto de habilidades y recursos—o competencias y capacidades—necesarios para realizar funciones de política" (p. 167)</w:t>
        <w:br/>
        <w:t>2. **Competencias Analíticas** - "Habilidades para acceder y aplicar conocimiento técnico y científico y técnicas analíticas" (p. 169)</w:t>
        <w:br/>
        <w:t>3. **Competencias Operacionales** - Habilidades para alinear recursos con acciones de política para implementación práctica (p. 168)</w:t>
        <w:br/>
        <w:t>4. **Competencias Políticas** - Habilidades para obtener y sostener apoyo político para acciones de política (p. 168)</w:t>
        <w:br/>
        <w:t>5. **Capacidad Individual** - Conocimiento sobre procesos de política, habilidades de análisis y evaluación, experiencia gerencial y juicio político de profesionales (p. 168)</w:t>
        <w:br/>
        <w:t>6. **Capacidad Organizacional** - Infraestructura de información, sistemas de gestión de recursos humanos y financieros, y apoyo político disponible a nivel organizacional (p. 168)</w:t>
        <w:br/>
        <w:t>7. **Capacidad Sistémica** - Estado general de facilidades científicas, estadísticas y educativas en una sociedad que permite acceso a información de alta calidad (p. 169)</w:t>
      </w:r>
    </w:p>
    <w:p>
      <w:pPr>
        <w:pStyle w:val="Heading2"/>
      </w:pPr>
      <w:r>
        <w:rPr>
          <w:color w:val="1B4332"/>
        </w:rPr>
        <w:t>8 | Reconstrucción analítica del argumento</w:t>
      </w:r>
    </w:p>
    <w:p>
      <w:r>
        <w:rPr>
          <w:sz w:val="20"/>
        </w:rPr>
        <w:t>Los autores argumentan que la falta de definición operacional sistemática ha limitado el uso práctico del concepto de capacidad de política pública. Proponen que las fallas de política resultan de atención desequilibrada a nueve componentes de capacidad (3 competencias x 3 niveles). El marco permite diagnóstico de brechas específicas de capacidad y estrategias diferenciadas de mejoramiento. La capacidad efectiva requiere combinaciones apropiadas de habilidades y recursos, no necesariamente en igual medida o simultáneamente.</w:t>
      </w:r>
    </w:p>
    <w:p>
      <w:pPr>
        <w:pStyle w:val="Heading2"/>
      </w:pPr>
      <w:r>
        <w:rPr>
          <w:color w:val="1B4332"/>
        </w:rPr>
        <w:t>10 | Aportes principales</w:t>
      </w:r>
    </w:p>
    <w:p>
      <w:r>
        <w:rPr>
          <w:sz w:val="20"/>
        </w:rPr>
        <w:t>1. **Marco conceptual integrador** - Primera taxonomía sistemática que sintetiza perspectivas fragmentadas de la literatura</w:t>
        <w:br/>
        <w:t>2. **Modelo anidado de capacidades** - Reconoce interacciones entre niveles individual, organizacional y sistémico</w:t>
        <w:br/>
        <w:t>3. **Herramienta diagnóstica** - Permite identificación específica de brechas de capacidad para intervenciones focalizadas</w:t>
        <w:br/>
        <w:t>4. **Aplicabilidad transversal** - Marco aplicable a todas las etapas del proceso de política pública</w:t>
        <w:br/>
        <w:t>5. **Inclusión de actores no gubernamentales** - Reconoce papel de organizaciones no gubernamentales en capacidad de política</w:t>
      </w:r>
    </w:p>
    <w:p>
      <w:pPr>
        <w:pStyle w:val="Heading2"/>
      </w:pPr>
      <w:r>
        <w:rPr>
          <w:color w:val="1B4332"/>
        </w:rPr>
        <w:t>11 | Limitaciones</w:t>
      </w:r>
    </w:p>
    <w:p>
      <w:r>
        <w:rPr>
          <w:sz w:val="20"/>
        </w:rPr>
        <w:t>1. **Naturaleza teórica** - Los autores reconocen que el marco requiere validación empírica y operacionalización práctica</w:t>
        <w:br/>
        <w:t>2. **Falta de indicadores específicos** - No se proporcionan métricas concretas para medir cada tipo de capacidad</w:t>
        <w:br/>
        <w:t>3. **Complejidad de interacciones** - El modelo no especifica completamente cómo interactúan los nueve componentes</w:t>
        <w:br/>
        <w:t>4. **Aplicabilidad contextual** - Requiere adaptación para contextos específicos y sistemas políticos particulares</w:t>
      </w:r>
    </w:p>
    <w:p>
      <w:pPr>
        <w:pStyle w:val="Heading2"/>
      </w:pPr>
      <w:r>
        <w:rPr>
          <w:color w:val="1B4332"/>
        </w:rPr>
        <w:t>12 | Conexión con debates mayores</w:t>
      </w:r>
    </w:p>
    <w:p>
      <w:r>
        <w:rPr>
          <w:sz w:val="20"/>
        </w:rPr>
        <w:t>El artículo se conecta centralmente con debates sobre **state capacity** y **capacity building** en administración pública. Intersecta con literatura de **gobernanza multinivel** al incluir múltiples actores y niveles. Se relaciona tangencialmente con **Nueva Gestión Pública (NPM)** a través del énfasis en capacidades gerenciales y operacionales. Contribuye al debate sobre **descentralización** al proporcionar marco para evaluar capacidades en diferentes niveles gubernamentales.</w:t>
      </w:r>
    </w:p>
    <w:p>
      <w:pPr>
        <w:pStyle w:val="Heading2"/>
      </w:pPr>
      <w:r>
        <w:rPr>
          <w:color w:val="1B4332"/>
        </w:rPr>
        <w:t>13 | Observaciones críticas propias</w:t>
      </w:r>
    </w:p>
    <w:p>
      <w:r>
        <w:rPr>
          <w:sz w:val="20"/>
        </w:rPr>
        <w:t>El marco presenta tensiones no resueltas entre comprehensividad y parsimonia - busca incluir todas las perspectivas existentes pero puede resultar en complejidad analítica excesiva. Los autores no problematizan suficientemente el supuesto de que mayor capacidad siempre genera mejores resultados, ignorando posibles trade-offs entre diferentes tipos de capacidad. La ausencia de ponderaciones o jerarquización entre los nueve componentes limita la utilidad práctica del marco. Requiere extensión hacia mecanismos causales específicos que vinculen capacidades con resultados de política.</w:t>
      </w:r>
    </w:p>
    <w:p>
      <w:pPr>
        <w:pStyle w:val="Heading2"/>
      </w:pPr>
      <w:r>
        <w:rPr>
          <w:color w:val="1B4332"/>
        </w:rPr>
        <w:t>6 | Tipo de investigación y metodología</w:t>
      </w:r>
    </w:p>
    <w:p>
      <w:r>
        <w:rPr>
          <w:b/>
          <w:sz w:val="20"/>
        </w:rPr>
        <w:t xml:space="preserve">Diseño: </w:t>
      </w:r>
      <w:r>
        <w:rPr>
          <w:sz w:val="20"/>
        </w:rPr>
        <w:t>Teórico-conceptual</w:t>
      </w:r>
    </w:p>
    <w:p>
      <w:r>
        <w:rPr>
          <w:b/>
          <w:sz w:val="20"/>
        </w:rPr>
        <w:t xml:space="preserve">Universo: </w:t>
      </w:r>
      <w:r>
        <w:rPr>
          <w:sz w:val="20"/>
        </w:rPr>
        <w:t>Literatura académica sobre capacidad de política pública</w:t>
      </w:r>
    </w:p>
    <w:p>
      <w:r>
        <w:rPr>
          <w:b/>
          <w:sz w:val="20"/>
        </w:rPr>
        <w:t xml:space="preserve">Muestra: </w:t>
      </w:r>
      <w:r>
        <w:rPr>
          <w:sz w:val="20"/>
        </w:rPr>
        <w:t>Revisión selectiva de literatura relevante</w:t>
      </w:r>
    </w:p>
    <w:p>
      <w:r>
        <w:rPr>
          <w:b/>
          <w:sz w:val="20"/>
        </w:rPr>
        <w:t xml:space="preserve">Instrumentos: </w:t>
      </w:r>
      <w:r>
        <w:rPr>
          <w:sz w:val="20"/>
        </w:rPr>
        <w:t>Análisis documental y síntesis teórica</w:t>
      </w:r>
    </w:p>
    <w:p>
      <w:r>
        <w:rPr>
          <w:b/>
          <w:sz w:val="20"/>
        </w:rPr>
        <w:t xml:space="preserve">Variable dependiente: </w:t>
      </w:r>
      <w:r>
        <w:rPr>
          <w:sz w:val="20"/>
        </w:rPr>
        <w:t>No aplica (estudio teórico)</w:t>
      </w:r>
    </w:p>
    <w:p>
      <w:r>
        <w:rPr>
          <w:b/>
          <w:sz w:val="20"/>
        </w:rPr>
        <w:t xml:space="preserve">Variables independientes: </w:t>
      </w:r>
      <w:r>
        <w:rPr>
          <w:sz w:val="20"/>
        </w:rPr>
        <w:t>No aplica</w:t>
      </w:r>
    </w:p>
    <w:p>
      <w:r>
        <w:rPr>
          <w:b/>
          <w:sz w:val="20"/>
        </w:rPr>
        <w:t xml:space="preserve">Análisis: </w:t>
      </w:r>
      <w:r>
        <w:rPr>
          <w:sz w:val="20"/>
        </w:rPr>
        <w:t>Síntesis conceptual y construcción de marco teórico</w:t>
      </w:r>
    </w:p>
    <w:p>
      <w:r>
        <w:rPr>
          <w:b/>
          <w:sz w:val="20"/>
        </w:rPr>
        <w:t xml:space="preserve">País/Nivel de gobierno: </w:t>
      </w:r>
      <w:r>
        <w:rPr>
          <w:sz w:val="20"/>
        </w:rPr>
        <w:t>Marco general aplicable a múltiples contextos</w:t>
      </w:r>
    </w:p>
    <w:p>
      <w:pPr>
        <w:pStyle w:val="Heading2"/>
      </w:pPr>
      <w:r>
        <w:rPr>
          <w:color w:val="1B4332"/>
        </w:rPr>
        <w:t>9 | Evidencia empírica / estadística</w:t>
      </w:r>
    </w:p>
    <w:p>
      <w:r>
        <w:rPr>
          <w:sz w:val="20"/>
        </w:rPr>
        <w:t>El artículo es principalmente teórico y no presenta evidencia empírica cuantitativa. La evidencia consiste en: ejemplos ilustrativos como la crisis financiera global de 2008 que demostró déficits de capacidad; referencias a estudios previos sobre utilización de conocimiento en gobierno; y casos mencionados de países desarrollados y en desarrollo con déficits de capacidad pronunciados y persistentes.</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Wu, Ramesh y Howlett presentan el primer marco sistemático para conceptualizar la capacidad de política pública como matriz de competencias (analíticas, operacionales, políticas) y capacidades (individual, organizacional, sistémica). Su principal contribución radica en sintetizar perspectivas fragmentadas de la literatura en una taxonomía coherente que permite diagnóstico específico de déficits de capacidad. Aunque el marco requiere validación empírica y refinamiento operacional, establece fundamentos conceptuales sólidos para investigación futura y práctica de fortalecimiento institucional. La relevancia del trabajo trasciende fronteras disciplinarias al ofrecer lenguaje común para analizar capacidades estatales en diversos contextos políticos y administrativos. Su influencia potencial se extiende tanto a académicos interesados en state capacity como a profesionales involucrados en capacity building y reforma del sector público.</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C8E6C9"/>
          </w:tcPr>
          <w:p>
            <w:r>
              <w:rPr>
                <w:b/>
                <w:color w:val="2E7D32"/>
                <w:sz w:val="16"/>
              </w:rPr>
              <w:t xml:space="preserve">[2] </w:t>
            </w:r>
            <w:r>
              <w:rPr>
                <w:sz w:val="14"/>
              </w:rPr>
              <w:t>Define capacidades analíticas individuales como conocimientos de procesos de política, hab</w:t>
            </w:r>
          </w:p>
        </w:tc>
        <w:tc>
          <w:tcPr>
            <w:tcW w:type="dxa" w:w="2351"/>
            <w:shd w:val="clear" w:color="auto" w:fill="C8E6C9"/>
          </w:tcPr>
          <w:p>
            <w:r>
              <w:rPr>
                <w:b/>
                <w:color w:val="2E7D32"/>
                <w:sz w:val="16"/>
              </w:rPr>
              <w:t xml:space="preserve">[2] </w:t>
            </w:r>
            <w:r>
              <w:rPr>
                <w:sz w:val="14"/>
              </w:rPr>
              <w:t xml:space="preserve">Conceptualiza experiencia gerencial, juicio político y habilidades de implementación como </w:t>
            </w:r>
          </w:p>
        </w:tc>
        <w:tc>
          <w:tcPr>
            <w:tcW w:type="dxa" w:w="2351"/>
            <w:shd w:val="clear" w:color="auto" w:fill="C8E6C9"/>
          </w:tcPr>
          <w:p>
            <w:r>
              <w:rPr>
                <w:b/>
                <w:color w:val="2E7D32"/>
                <w:sz w:val="16"/>
              </w:rPr>
              <w:t xml:space="preserve">[2] </w:t>
            </w:r>
            <w:r>
              <w:rPr>
                <w:sz w:val="14"/>
              </w:rPr>
              <w:t>Juicio político individual y habilidades para obtener apoyo como capacidades políticas a n</w:t>
            </w:r>
          </w:p>
        </w:tc>
      </w:tr>
      <w:tr>
        <w:tc>
          <w:tcPr>
            <w:tcW w:type="dxa" w:w="2351"/>
            <w:shd w:val="clear" w:color="auto" w:fill="D8F3DC"/>
          </w:tcPr>
          <w:p>
            <w:r>
              <w:rPr>
                <w:b/>
                <w:sz w:val="16"/>
              </w:rPr>
              <w:t>ORGANIZACIONAL</w:t>
            </w:r>
          </w:p>
        </w:tc>
        <w:tc>
          <w:tcPr>
            <w:tcW w:type="dxa" w:w="2351"/>
            <w:shd w:val="clear" w:color="auto" w:fill="C8E6C9"/>
          </w:tcPr>
          <w:p>
            <w:r>
              <w:rPr>
                <w:b/>
                <w:color w:val="2E7D32"/>
                <w:sz w:val="16"/>
              </w:rPr>
              <w:t xml:space="preserve">[2] </w:t>
            </w:r>
            <w:r>
              <w:rPr>
                <w:sz w:val="14"/>
              </w:rPr>
              <w:t>Propone infraestructura de información, sistemas de gestión de recursos humanos y financie</w:t>
            </w:r>
          </w:p>
        </w:tc>
        <w:tc>
          <w:tcPr>
            <w:tcW w:type="dxa" w:w="2351"/>
            <w:shd w:val="clear" w:color="auto" w:fill="C8E6C9"/>
          </w:tcPr>
          <w:p>
            <w:r>
              <w:rPr>
                <w:b/>
                <w:color w:val="2E7D32"/>
                <w:sz w:val="16"/>
              </w:rPr>
              <w:t xml:space="preserve">[2] </w:t>
            </w:r>
            <w:r>
              <w:rPr>
                <w:sz w:val="14"/>
              </w:rPr>
              <w:t>Desarrolla capacidades organizacionales operativas incluyendo sistemas de gestión de recur</w:t>
            </w:r>
          </w:p>
        </w:tc>
        <w:tc>
          <w:tcPr>
            <w:tcW w:type="dxa" w:w="2351"/>
            <w:shd w:val="clear" w:color="auto" w:fill="C8E6C9"/>
          </w:tcPr>
          <w:p>
            <w:r>
              <w:rPr>
                <w:b/>
                <w:color w:val="2E7D32"/>
                <w:sz w:val="16"/>
              </w:rPr>
              <w:t xml:space="preserve">[2] </w:t>
            </w:r>
            <w:r>
              <w:rPr>
                <w:sz w:val="14"/>
              </w:rPr>
              <w:t xml:space="preserve">Legitimidad organizacional, acceso a recursos y apoyo político como capacidades políticas </w:t>
            </w:r>
          </w:p>
        </w:tc>
      </w:tr>
      <w:tr>
        <w:tc>
          <w:tcPr>
            <w:tcW w:type="dxa" w:w="2351"/>
            <w:shd w:val="clear" w:color="auto" w:fill="D8F3DC"/>
          </w:tcPr>
          <w:p>
            <w:r>
              <w:rPr>
                <w:b/>
                <w:sz w:val="16"/>
              </w:rPr>
              <w:t>SISTÉMICO</w:t>
            </w:r>
          </w:p>
        </w:tc>
        <w:tc>
          <w:tcPr>
            <w:tcW w:type="dxa" w:w="2351"/>
            <w:shd w:val="clear" w:color="auto" w:fill="C8E6C9"/>
          </w:tcPr>
          <w:p>
            <w:r>
              <w:rPr>
                <w:b/>
                <w:color w:val="2E7D32"/>
                <w:sz w:val="16"/>
              </w:rPr>
              <w:t xml:space="preserve">[2] </w:t>
            </w:r>
            <w:r>
              <w:rPr>
                <w:sz w:val="14"/>
              </w:rPr>
              <w:t>Identifica recursos disponibles del sistema, nivel de confianza pública y condiciones econ</w:t>
            </w:r>
          </w:p>
        </w:tc>
        <w:tc>
          <w:tcPr>
            <w:tcW w:type="dxa" w:w="2351"/>
            <w:shd w:val="clear" w:color="auto" w:fill="C8E6C9"/>
          </w:tcPr>
          <w:p>
            <w:r>
              <w:rPr>
                <w:b/>
                <w:color w:val="2E7D32"/>
                <w:sz w:val="16"/>
              </w:rPr>
              <w:t xml:space="preserve">[2] </w:t>
            </w:r>
            <w:r>
              <w:rPr>
                <w:sz w:val="14"/>
              </w:rPr>
              <w:t>Marco legal, apoyo institucional y recursos disponibles del sistema como componentes opera</w:t>
            </w:r>
          </w:p>
        </w:tc>
        <w:tc>
          <w:tcPr>
            <w:tcW w:type="dxa" w:w="2351"/>
            <w:shd w:val="clear" w:color="auto" w:fill="2E7D32"/>
          </w:tcPr>
          <w:p>
            <w:r>
              <w:rPr>
                <w:b/>
                <w:color w:val="FFFFFF"/>
                <w:sz w:val="16"/>
              </w:rPr>
              <w:t xml:space="preserve">[3] </w:t>
            </w:r>
            <w:r>
              <w:rPr>
                <w:sz w:val="14"/>
              </w:rPr>
              <w:t>Desarrolla extensamente confianza pública, legitimidad sistémica y apoyo ciudadano como fu</w:t>
            </w:r>
          </w:p>
        </w:tc>
      </w:tr>
    </w:tbl>
    <w:p/>
    <w:p>
      <w:r>
        <w:rPr>
          <w:sz w:val="18"/>
        </w:rPr>
        <w:t>AI: 2 | Define capacidades analíticas individuales como conocimientos de procesos de política, habilidades de análisis y evaluación</w:t>
        <w:br/>
        <w:t>AO: 2 | Propone infraestructura de información, sistemas de gestión de recursos humanos y financieros como capacidades organizacionales analíticas</w:t>
        <w:br/>
        <w:t>AS: 2 | Identifica recursos disponibles del sistema, nivel de confianza pública y condiciones económicas como factores sistémicos analíticos</w:t>
        <w:br/>
        <w:t>OI: 2 | Conceptualiza experiencia gerencial, juicio político y habilidades de implementación como capacidades operativas individuales</w:t>
        <w:br/>
        <w:t>OO: 2 | Desarrolla capacidades organizacionales operativas incluyendo sistemas de gestión de recursos y procesos de toma de decisiones</w:t>
        <w:br/>
        <w:t>OS: 2 | Marco legal, apoyo institucional y recursos disponibles del sistema como componentes operativos sistémicos</w:t>
        <w:br/>
        <w:t>PI: 2 | Juicio político individual y habilidades para obtener apoyo como capacidades políticas a nivel personal</w:t>
        <w:br/>
        <w:t>PO: 2 | Legitimidad organizacional, acceso a recursos y apoyo político como capacidades políticas organizacionales</w:t>
        <w:br/>
        <w:t>PS: 3 | Desarrolla extensamente confianza pública, legitimidad sistémica y apoyo ciudadano como fundamento de capacidad política sistémica</w:t>
        <w:br/>
        <w:br/>
        <w:t>CELDAS_PRINCIPALES: PS, AO, OO</w:t>
      </w:r>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r>
              <w:rPr>
                <w:sz w:val="19"/>
              </w:rPr>
              <w:t>No propone indicadores operacionalizables. Artículo teórico/conceptual.</w:t>
            </w:r>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r>
              <w:rPr>
                <w:sz w:val="19"/>
              </w:rPr>
              <w:t>No aplica — artículo sin instrumento de medición tipo encuesta</w:t>
            </w:r>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r>
              <w:rPr>
                <w:sz w:val="19"/>
              </w:rPr>
              <w:t>No aplica — artículo conceptual/diagnóstico</w:t>
            </w:r>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r>
              <w:rPr>
                <w:sz w:val="19"/>
              </w:rPr>
              <w:t>Recursos sistémicos (confianza, apoyo político) → habilitación organizacional → aumento en capacidades organizacionales (AO, OO, PO) → sin moderadores identificados</w:t>
              <w:br/>
              <w:br/>
              <w:t>Capacidades individuales (conocimiento, habilidades) → desempeño organizacional → efectividad en funciones de política → moderado por recursos organizacionales disponibles</w:t>
              <w:br/>
              <w:br/>
              <w:t>Legitimidad y apoyo ciudadano → acceso a recursos → fortalecimiento de capacidades operativas → condicionado por precondiciones sistémicas</w:t>
            </w:r>
          </w:p>
        </w:tc>
      </w:tr>
    </w:tbl>
    <w:p/>
    <w:p>
      <w:pPr>
        <w:pStyle w:val="Heading2"/>
      </w:pPr>
      <w:r>
        <w:rPr>
          <w:color w:val="1B4332"/>
        </w:rPr>
        <w:t>VI | Condiciones estructurales (facilitadoras/inhibidoras)</w:t>
      </w:r>
    </w:p>
    <w:p>
      <w:r>
        <w:rPr>
          <w:sz w:val="20"/>
        </w:rPr>
        <w:t>FACILITADORES:</w:t>
        <w:br/>
        <w:t>- Confianza pública: Fundamental para acceso a recursos y legitimidad de las agencias</w:t>
        <w:br/>
        <w:t>- Apoyo político: Vital para obtener recursos de instituciones autorizadoras</w:t>
        <w:br/>
        <w:t>- Infraestructura organizacional: Sistemas efectivos de gestión potencian capacidades individuales</w:t>
        <w:br/>
        <w:br/>
        <w:t>INHIBIDORES:</w:t>
        <w:br/>
        <w:t>- Falta de legitimidad: Agencias sin legitimidad ciudadana no pueden acceder a recursos continuos</w:t>
        <w:br/>
        <w:t>- Circunscripción organizacional: Organizaciones que limitan responsabilidad individual socavan capacidades</w:t>
        <w:br/>
        <w:t>- Baja moral: Ambientes organizacionales que dañan la moral de profesionales de política</w:t>
      </w:r>
    </w:p>
    <w:p>
      <w:pPr>
        <w:pStyle w:val="Heading2"/>
      </w:pPr>
      <w:r>
        <w:rPr>
          <w:color w:val="1B4332"/>
        </w:rPr>
        <w:t>VII | Comparabilidad contextual con Rionegro</w:t>
      </w:r>
    </w:p>
    <w:p>
      <w:r>
        <w:rPr>
          <w:b/>
          <w:sz w:val="20"/>
        </w:rPr>
        <w:t xml:space="preserve">País: </w:t>
      </w:r>
      <w:r>
        <w:rPr>
          <w:sz w:val="20"/>
        </w:rPr>
        <w:t>Marco conceptual general</w:t>
      </w:r>
    </w:p>
    <w:p>
      <w:r>
        <w:rPr>
          <w:b/>
          <w:sz w:val="20"/>
        </w:rPr>
        <w:t xml:space="preserve">Nivel de gobierno: </w:t>
      </w:r>
      <w:r>
        <w:rPr>
          <w:sz w:val="20"/>
        </w:rPr>
        <w:t>Aplicable a múltiples niveles</w:t>
      </w:r>
    </w:p>
    <w:p>
      <w:r>
        <w:rPr>
          <w:b/>
          <w:sz w:val="20"/>
        </w:rPr>
        <w:t xml:space="preserve">Tamaño del gobierno: </w:t>
      </w:r>
      <w:r>
        <w:rPr>
          <w:sz w:val="20"/>
        </w:rPr>
        <w:t>No especifica</w:t>
      </w:r>
    </w:p>
    <w:p>
      <w:r>
        <w:rPr>
          <w:b/>
          <w:sz w:val="20"/>
        </w:rPr>
        <w:t xml:space="preserve">Ingreso/Categoría fiscal: </w:t>
      </w:r>
      <w:r>
        <w:rPr>
          <w:sz w:val="20"/>
        </w:rPr>
        <w:t>No especifica</w:t>
      </w:r>
    </w:p>
    <w:p>
      <w:r>
        <w:rPr>
          <w:b/>
          <w:sz w:val="20"/>
        </w:rPr>
        <w:t xml:space="preserve">Tipo de régimen burocrático: </w:t>
      </w:r>
      <w:r>
        <w:rPr>
          <w:sz w:val="20"/>
        </w:rPr>
        <w:t>Marco general aplicable a diversos tipos</w:t>
      </w:r>
    </w:p>
    <w:p>
      <w:r>
        <w:rPr>
          <w:b/>
          <w:sz w:val="20"/>
        </w:rPr>
        <w:t xml:space="preserve">Sector de política: </w:t>
      </w:r>
      <w:r>
        <w:rPr>
          <w:sz w:val="20"/>
        </w:rPr>
        <w:t>Transversal</w:t>
      </w:r>
    </w:p>
    <w:p>
      <w:r>
        <w:rPr>
          <w:b/>
          <w:sz w:val="20"/>
        </w:rPr>
        <w:t xml:space="preserve">Comparabilidad con Rionegro: </w:t>
      </w:r>
      <w:r>
        <w:rPr>
          <w:sz w:val="20"/>
        </w:rPr>
        <w:t>Alta</w:t>
      </w:r>
    </w:p>
    <w:p>
      <w:r>
        <w:rPr>
          <w:b/>
          <w:sz w:val="20"/>
        </w:rPr>
        <w:t xml:space="preserve">Justificación: </w:t>
      </w:r>
      <w:r>
        <w:rPr>
          <w:sz w:val="20"/>
        </w:rPr>
        <w:t>Es el marco teórico fundacional del PCF que se aplica directamente al caso de estudio</w:t>
      </w:r>
    </w:p>
    <w:p>
      <w:pPr>
        <w:pStyle w:val="Heading2"/>
      </w:pPr>
      <w:r>
        <w:rPr>
          <w:color w:val="1B4332"/>
        </w:rPr>
        <w:t>VIII | Conexión con las 4 preguntas empíricas</w:t>
      </w:r>
    </w:p>
    <w:p>
      <w:r>
        <w:rPr>
          <w:sz w:val="20"/>
        </w:rPr>
        <w:t>P1 — Anclaje duro → nivel organizacional: Marco sugiere que recursos organizacionales son críticos para efectividad</w:t>
      </w:r>
      <w:r>
        <w:rPr>
          <w:b/>
          <w:color w:val="2E7D32"/>
          <w:sz w:val="20"/>
        </w:rPr>
        <w:t xml:space="preserve">  →  Soporta</w:t>
      </w:r>
    </w:p>
    <w:p>
      <w:r>
        <w:rPr>
          <w:sz w:val="20"/>
        </w:rPr>
        <w:t>P2 — Intervenciones blandas → individual/político: Enfatiza importancia de capacidades individuales y apoyo político</w:t>
      </w:r>
      <w:r>
        <w:rPr>
          <w:b/>
          <w:color w:val="2E7D32"/>
          <w:sz w:val="20"/>
        </w:rPr>
        <w:t xml:space="preserve">  →  Soporta</w:t>
      </w:r>
    </w:p>
    <w:p>
      <w:r>
        <w:rPr>
          <w:sz w:val="20"/>
        </w:rPr>
        <w:t>P3 — Inercia dimensional → restricciones estructurales: Identifica precondiciones sistémicas como limitantes</w:t>
      </w:r>
      <w:r>
        <w:rPr>
          <w:b/>
          <w:color w:val="2E7D32"/>
          <w:sz w:val="20"/>
        </w:rPr>
        <w:t xml:space="preserve">  →  Soporta</w:t>
      </w:r>
    </w:p>
    <w:p>
      <w:r>
        <w:rPr>
          <w:sz w:val="20"/>
        </w:rPr>
        <w:t>P4 — Apropiación superficial vs. real: No aborda directamente esta distinción</w:t>
      </w:r>
      <w:r>
        <w:rPr>
          <w:b/>
          <w:sz w:val="20"/>
        </w:rPr>
        <w:t xml:space="preserve">  →  No aplica</w:t>
      </w:r>
    </w:p>
    <w:p>
      <w:pPr>
        <w:pStyle w:val="Heading2"/>
      </w:pPr>
      <w:r>
        <w:rPr>
          <w:color w:val="1B4332"/>
        </w:rPr>
        <w:t>IX | Citas estratégicas categorizadas</w:t>
      </w:r>
    </w:p>
    <w:p>
      <w:pPr>
        <w:pStyle w:val="Heading3"/>
      </w:pPr>
      <w:r>
        <w:rPr>
          <w:color w:val="4A148C"/>
        </w:rPr>
        <w:t>Para Marco Teórico</w:t>
      </w:r>
    </w:p>
    <w:p>
      <w:pPr>
        <w:ind w:left="567" w:right="567"/>
      </w:pPr>
      <w:r>
        <w:rPr>
          <w:i/>
          <w:color w:val="444444"/>
          <w:sz w:val="19"/>
        </w:rPr>
        <w:t>""Policy capacity refers to the competencies and capabilities important to policy-making" (p. 167)"</w:t>
      </w:r>
    </w:p>
    <w:p>
      <w:pPr>
        <w:ind w:left="567" w:right="567"/>
      </w:pPr>
      <w:r>
        <w:rPr>
          <w:i/>
          <w:color w:val="444444"/>
          <w:sz w:val="19"/>
        </w:rPr>
        <w:t>""Three types: analytical, operational and political—while policy capabilities are assessed at individual, organizational, and system levels" (p. 167)"</w:t>
      </w:r>
    </w:p>
    <w:p>
      <w:pPr>
        <w:ind w:left="567" w:right="567"/>
      </w:pPr>
      <w:r>
        <w:rPr>
          <w:i/>
          <w:color w:val="444444"/>
          <w:sz w:val="19"/>
        </w:rPr>
        <w:t>""System level resources affect organizational ones and vice versa, just as organizational and individual level resources interact" (p. 168)"</w:t>
      </w:r>
    </w:p>
    <w:p>
      <w:pPr>
        <w:pStyle w:val="Heading3"/>
      </w:pPr>
      <w:r>
        <w:rPr>
          <w:color w:val="0D47A1"/>
        </w:rPr>
        <w:t>Para Metodología</w:t>
      </w:r>
    </w:p>
    <w:p>
      <w:pPr>
        <w:ind w:left="567" w:right="567"/>
      </w:pPr>
      <w:r>
        <w:rPr>
          <w:i/>
          <w:color w:val="444444"/>
          <w:sz w:val="19"/>
        </w:rPr>
        <w:t>""Framework for analysing policy capacity which encompasses all elements and their interrelationships" (p. 167)"</w:t>
      </w:r>
    </w:p>
    <w:p>
      <w:pPr>
        <w:ind w:left="567" w:right="567"/>
      </w:pPr>
      <w:r>
        <w:rPr>
          <w:i/>
          <w:color w:val="444444"/>
          <w:sz w:val="19"/>
        </w:rPr>
        <w:t>""Allows for superior operationalization of the concept and its translation into practice" (p. 167)"</w:t>
      </w:r>
    </w:p>
    <w:p>
      <w:pPr>
        <w:pStyle w:val="Heading3"/>
      </w:pPr>
      <w:r>
        <w:rPr>
          <w:color w:val="BF360C"/>
        </w:rPr>
        <w:t>Para Discusión</w:t>
      </w:r>
    </w:p>
    <w:p>
      <w:pPr>
        <w:ind w:left="567" w:right="567"/>
      </w:pPr>
      <w:r>
        <w:rPr>
          <w:i/>
          <w:color w:val="444444"/>
          <w:sz w:val="19"/>
        </w:rPr>
        <w:t>""Policy failures often result from imbalanced attention to these nine different components" (p. 165)"</w:t>
      </w:r>
    </w:p>
    <w:p>
      <w:pPr>
        <w:ind w:left="567" w:right="567"/>
      </w:pPr>
      <w:r>
        <w:rPr>
          <w:i/>
          <w:color w:val="444444"/>
          <w:sz w:val="19"/>
        </w:rPr>
        <w:t>""High levels of individual policy capacity may not guarantee policy effectiveness" (p. 168)"</w:t>
      </w:r>
    </w:p>
    <w:p>
      <w:pPr>
        <w:ind w:left="567" w:right="567"/>
      </w:pPr>
      <w:r>
        <w:rPr>
          <w:i/>
          <w:color w:val="444444"/>
          <w:sz w:val="19"/>
        </w:rPr>
        <w:t>""Organizations that unduly circumscribe individual decision making can undermine agency's ability" (p. 168)"</w:t>
      </w:r>
    </w:p>
    <w:p>
      <w:pPr>
        <w:pStyle w:val="Heading2"/>
      </w:pPr>
      <w:r>
        <w:rPr>
          <w:color w:val="1B4332"/>
        </w:rPr>
        <w:t>X | Vacíos estratégicos</w:t>
      </w:r>
    </w:p>
    <w:p>
      <w:r>
        <w:rPr>
          <w:sz w:val="20"/>
        </w:rPr>
        <w:t>1. No proporciona indicadores específicos para medir cada celda de la matriz</w:t>
        <w:br/>
        <w:t>2. No aborda contextos de alta dependencia de contratistas</w:t>
        <w:br/>
        <w:t>3. No considera dinámicas de implementación longitudinal</w:t>
        <w:br/>
        <w:t>4. Carece de evidencia empírica sobre efectividad diferenciada de intervenciones</w:t>
        <w:br/>
        <w:t>5. No analiza condiciones de baja institucionalización burocrática</w:t>
        <w:br/>
        <w:t>6. No distingue entre apropiación superficial y transformación real de capacidades</w:t>
      </w:r>
    </w:p>
    <w:p>
      <w:pPr>
        <w:pStyle w:val="Heading2"/>
      </w:pPr>
      <w:r>
        <w:rPr>
          <w:color w:val="1B4332"/>
        </w:rPr>
        <w:t>XI | Evaluación final estratégica</w:t>
      </w:r>
    </w:p>
    <w:p>
      <w:r>
        <w:rPr>
          <w:b/>
          <w:color w:val="1B5E20"/>
          <w:sz w:val="22"/>
        </w:rPr>
        <w:t>● CLASIFICACIÓN: FUNDAMENTAL</w:t>
      </w:r>
    </w:p>
    <w:tbl>
      <w:tblPr>
        <w:tblStyle w:val="TableGrid"/>
        <w:tblW w:type="auto" w:w="0"/>
        <w:tblLook w:firstColumn="1" w:firstRow="1" w:lastColumn="0" w:lastRow="0" w:noHBand="0" w:noVBand="1" w:val="04A0"/>
      </w:tblPr>
      <w:tblGrid>
        <w:gridCol w:w="9406"/>
      </w:tblGrid>
      <w:tr>
        <w:tc>
          <w:tcPr>
            <w:tcW w:type="dxa" w:w="9406"/>
            <w:shd w:val="clear" w:color="auto" w:fill="FFF8E1"/>
          </w:tcPr>
          <w:p/>
          <w:p>
            <w:r>
              <w:rPr>
                <w:sz w:val="19"/>
              </w:rPr>
              <w:t>Este artículo es fundamental por ser el texto seminal que establece el Policy Capacities Framework utilizado como marco teórico central del paper de Rionegro. Proporciona la matriz de 9 celdas que estructura toda la investigación y conceptualiza sistemáticamente las tres competencias (analítica, operativa, política) en tres niveles (individual, organizacional, sistémico). Su mayor contribución está en las celdas de capacidad política sistémica (PS) y capacidades organizacionales (AO, OO), donde desarrolla extensamente la importancia de legitimidad, confianza pública y sistemas organizacionales. Para el caso de Rionegro, este marco permite operacionalizar el diagnóstico de capacidades en las 9 dimensiones, aunque requiere adaptación específica para contextos de alta dependencia de contratistas y baja institucionalización burocrática. El artículo justifica metodológicamente la medición matricial y proporciona el fundamento conceptual para evaluar intervenciones de capacity building en gobiernos subnacionales.</w:t>
            </w:r>
          </w:p>
        </w:tc>
      </w:tr>
    </w:tbl>
    <w:p/>
    <w:p>
      <w:pPr>
        <w:jc w:val="right"/>
      </w:pPr>
      <w:r>
        <w:rPr>
          <w:i/>
          <w:color w:val="999999"/>
          <w:sz w:val="16"/>
        </w:rPr>
        <w:t>Ficha generada automáticamente · 09/04/2026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