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400"/>
        <w:jc w:val="center"/>
      </w:pPr>
      <w:r>
        <w:rPr>
          <w:rFonts w:ascii="Calibri" w:cs="Calibri" w:eastAsia="Calibri" w:hAnsi="Calibri"/>
          <w:b/>
          <w:bCs/>
          <w:color w:val="1F3864"/>
          <w:sz w:val="36"/>
          <w:szCs w:val="36"/>
        </w:rPr>
        <w:t xml:space="preserve">PuBlitec</w:t>
      </w:r>
    </w:p>
    <w:p>
      <w:pPr>
        <w:jc w:val="center"/>
      </w:pPr>
      <w:r>
        <w:rPr>
          <w:rFonts w:ascii="Calibri" w:cs="Calibri" w:eastAsia="Calibri" w:hAnsi="Calibri"/>
          <w:color w:val="808080"/>
          <w:sz w:val="20"/>
          <w:szCs w:val="20"/>
        </w:rPr>
        <w:t xml:space="preserve">Carpeta del proyecto · Lab to Market EAFIT 2026</w:t>
      </w:r>
    </w:p>
    <w:p>
      <w:pPr>
        <w:pBdr>
          <w:bottom w:val="single" w:color="C00000" w:sz="6" w:space="8"/>
        </w:pBdr>
        <w:spacing w:before="60"/>
        <w:jc w:val="center"/>
      </w:pPr>
    </w:p>
    <w:p>
      <w:pPr>
        <w:spacing w:after="40" w:before="300"/>
        <w:jc w:val="center"/>
      </w:pPr>
      <w:r>
        <w:rPr>
          <w:rFonts w:ascii="Calibri" w:cs="Calibri" w:eastAsia="Calibri" w:hAnsi="Calibri"/>
          <w:b/>
          <w:bCs/>
          <w:color w:val="2E5496"/>
          <w:sz w:val="30"/>
          <w:szCs w:val="30"/>
        </w:rPr>
        <w:t xml:space="preserve">Fase 2</w:t>
      </w:r>
    </w:p>
    <w:p>
      <w:pPr>
        <w:jc w:val="center"/>
      </w:pPr>
      <w:r>
        <w:rPr>
          <w:rFonts w:ascii="Calibri" w:cs="Calibri" w:eastAsia="Calibri" w:hAnsi="Calibri"/>
          <w:color w:val="1F3864"/>
          <w:sz w:val="26"/>
          <w:szCs w:val="26"/>
        </w:rPr>
        <w:t xml:space="preserve">Descubrimiento y validación del cliente</w:t>
      </w:r>
    </w:p>
    <w:p>
      <w:pPr>
        <w:spacing w:after="260" w:before="20"/>
        <w:jc w:val="center"/>
      </w:pPr>
      <w:r>
        <w:rPr>
          <w:rFonts w:ascii="Calibri" w:cs="Calibri" w:eastAsia="Calibri" w:hAnsi="Calibri"/>
          <w:i/>
          <w:iCs/>
          <w:color w:val="595959"/>
          <w:sz w:val="20"/>
          <w:szCs w:val="20"/>
        </w:rPr>
        <w:t xml:space="preserve">11 de junio de 2026</w:t>
      </w:r>
    </w:p>
    <w:p>
      <w:pPr>
        <w:spacing w:after="60"/>
        <w:jc w:val="center"/>
      </w:pPr>
      <w:r>
        <w:rPr>
          <w:rFonts w:ascii="Calibri" w:cs="Calibri" w:eastAsia="Calibri" w:hAnsi="Calibri"/>
          <w:b/>
          <w:bCs/>
          <w:color w:val="1F3864"/>
          <w:sz w:val="20"/>
          <w:szCs w:val="20"/>
        </w:rPr>
        <w:t xml:space="preserve">Contenido de esta carpeta</w:t>
      </w:r>
    </w:p>
    <w:p>
      <w:pPr>
        <w:spacing w:after="30"/>
        <w:jc w:val="center"/>
      </w:pPr>
      <w:r>
        <w:rPr>
          <w:rFonts w:ascii="Calibri" w:cs="Calibri" w:eastAsia="Calibri" w:hAnsi="Calibri"/>
          <w:sz w:val="20"/>
          <w:szCs w:val="20"/>
        </w:rPr>
        <w:t xml:space="preserve">1. Propuesta de valor: lienzo y frase consolidada</w:t>
      </w:r>
    </w:p>
    <w:p>
      <w:pPr>
        <w:spacing w:after="30"/>
        <w:jc w:val="center"/>
      </w:pPr>
      <w:r>
        <w:rPr>
          <w:rFonts w:ascii="Calibri" w:cs="Calibri" w:eastAsia="Calibri" w:hAnsi="Calibri"/>
          <w:sz w:val="20"/>
          <w:szCs w:val="20"/>
        </w:rPr>
        <w:t xml:space="preserve">2. Segmentos de cliente</w:t>
      </w:r>
    </w:p>
    <w:p>
      <w:pPr>
        <w:spacing w:after="30"/>
        <w:jc w:val="center"/>
      </w:pPr>
      <w:r>
        <w:rPr>
          <w:rFonts w:ascii="Calibri" w:cs="Calibri" w:eastAsia="Calibri" w:hAnsi="Calibri"/>
          <w:sz w:val="20"/>
          <w:szCs w:val="20"/>
        </w:rPr>
        <w:t xml:space="preserve">3. Modelo de roles (T/U/C/S/B/I)</w:t>
      </w:r>
    </w:p>
    <w:p>
      <w:pPr>
        <w:spacing w:after="30"/>
        <w:jc w:val="center"/>
      </w:pPr>
      <w:r>
        <w:rPr>
          <w:rFonts w:ascii="Calibri" w:cs="Calibri" w:eastAsia="Calibri" w:hAnsi="Calibri"/>
          <w:sz w:val="20"/>
          <w:szCs w:val="20"/>
        </w:rPr>
        <w:t xml:space="preserve">4. Matriz de descubrimiento — Segmento A · Financiador</w:t>
      </w:r>
    </w:p>
    <w:p>
      <w:pPr>
        <w:spacing w:after="30"/>
        <w:jc w:val="center"/>
      </w:pPr>
      <w:r>
        <w:rPr>
          <w:rFonts w:ascii="Calibri" w:cs="Calibri" w:eastAsia="Calibri" w:hAnsi="Calibri"/>
          <w:sz w:val="20"/>
          <w:szCs w:val="20"/>
        </w:rPr>
        <w:t xml:space="preserve">5. Matriz de descubrimiento — Segmento B · Municipio</w:t>
      </w:r>
    </w:p>
    <w:p>
      <w:pPr>
        <w:spacing w:after="30"/>
        <w:jc w:val="center"/>
      </w:pPr>
      <w:r>
        <w:rPr>
          <w:rFonts w:ascii="Calibri" w:cs="Calibri" w:eastAsia="Calibri" w:hAnsi="Calibri"/>
          <w:sz w:val="20"/>
          <w:szCs w:val="20"/>
        </w:rPr>
        <w:t xml:space="preserve">6. Guía de preguntas de validación comercial</w:t>
      </w:r>
    </w:p>
    <w:p>
      <w:r>
        <w:br w:type="page"/>
      </w:r>
    </w:p>
    <w:p>
      <w:pPr>
        <w:pStyle w:val="Heading1"/>
        <w:spacing w:after="150" w:before="300"/>
      </w:pPr>
      <w:r>
        <w:rPr>
          <w:rFonts w:ascii="Calibri" w:cs="Calibri" w:eastAsia="Calibri" w:hAnsi="Calibri"/>
          <w:b/>
          <w:bCs/>
          <w:color w:val="1F3864"/>
        </w:rPr>
        <w:t xml:space="preserve">1. Propuesta de valor</w:t>
      </w:r>
    </w:p>
    <w:p>
      <w:pPr>
        <w:pStyle w:val="Heading2"/>
        <w:spacing w:after="110" w:before="240"/>
      </w:pPr>
      <w:r>
        <w:rPr>
          <w:rFonts w:ascii="Calibri" w:cs="Calibri" w:eastAsia="Calibri" w:hAnsi="Calibri"/>
          <w:b/>
          <w:bCs/>
          <w:color w:val="2E5496"/>
        </w:rPr>
        <w:t xml:space="preserve">1.1 Lienzo de propuesta de valor</w:t>
      </w:r>
    </w:p>
    <w:p>
      <w:pPr>
        <w:spacing w:after="120" w:line="276"/>
        <w:jc w:val="both"/>
      </w:pPr>
      <w:r>
        <w:rPr>
          <w:rFonts w:ascii="Calibri" w:cs="Calibri" w:eastAsia="Calibri" w:hAnsi="Calibri"/>
          <w:sz w:val="22"/>
          <w:szCs w:val="22"/>
        </w:rPr>
        <w:t xml:space="preserve">Construido en la primera sesión, el lienzo (Value Proposition Canvas) confronta la solución de PuBlitec con el perfil del cliente. A la izquierda, lo que ofrece el producto; a la derecha, lo que el cliente necesita, gana y sufre. El «encaje» es la correspondencia entre ambos lados.</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3930"/>
        <w:gridCol w:w="3930"/>
      </w:tblGrid>
      <w:tr>
        <w:trPr>
          <w:tblHeader/>
        </w:trPr>
        <w:tc>
          <w:tcPr>
            <w:tcW w:type="dxa" w:w="1500"/>
            <w:shd w:fill="2E5496" w:val="clear"/>
            <w:tcMar>
              <w:top w:type="dxa" w:w="60"/>
              <w:left w:type="dxa" w:w="100"/>
              <w:bottom w:type="dxa" w:w="60"/>
              <w:right w:type="dxa" w:w="100"/>
            </w:tcMar>
            <w:vAlign w:val="top"/>
          </w:tcPr>
          <w:p>
            <w:pPr>
              <w:spacing w:after="20" w:line="252"/>
            </w:pPr>
            <w:r>
              <w:rPr>
                <w:rFonts w:ascii="Calibri" w:cs="Calibri" w:eastAsia="Calibri" w:hAnsi="Calibri"/>
                <w:b/>
                <w:bCs/>
                <w:color w:val="FFFFFF"/>
                <w:sz w:val="19"/>
                <w:szCs w:val="19"/>
              </w:rPr>
              <w:t xml:space="preserve">Encaje</w:t>
            </w:r>
          </w:p>
        </w:tc>
        <w:tc>
          <w:tcPr>
            <w:tcW w:type="dxa" w:w="3930"/>
            <w:shd w:fill="2E5496" w:val="clear"/>
            <w:tcMar>
              <w:top w:type="dxa" w:w="60"/>
              <w:left w:type="dxa" w:w="100"/>
              <w:bottom w:type="dxa" w:w="60"/>
              <w:right w:type="dxa" w:w="100"/>
            </w:tcMar>
            <w:vAlign w:val="top"/>
          </w:tcPr>
          <w:p>
            <w:pPr>
              <w:spacing w:after="20" w:line="252"/>
            </w:pPr>
            <w:r>
              <w:rPr>
                <w:rFonts w:ascii="Calibri" w:cs="Calibri" w:eastAsia="Calibri" w:hAnsi="Calibri"/>
                <w:b/>
                <w:bCs/>
                <w:color w:val="FFFFFF"/>
                <w:sz w:val="19"/>
                <w:szCs w:val="19"/>
              </w:rPr>
              <w:t xml:space="preserve">Propuesta de valor (la solución)</w:t>
            </w:r>
          </w:p>
        </w:tc>
        <w:tc>
          <w:tcPr>
            <w:tcW w:type="dxa" w:w="3930"/>
            <w:shd w:fill="2E5496" w:val="clear"/>
            <w:tcMar>
              <w:top w:type="dxa" w:w="60"/>
              <w:left w:type="dxa" w:w="100"/>
              <w:bottom w:type="dxa" w:w="60"/>
              <w:right w:type="dxa" w:w="100"/>
            </w:tcMar>
            <w:vAlign w:val="top"/>
          </w:tcPr>
          <w:p>
            <w:pPr>
              <w:spacing w:after="20" w:line="252"/>
            </w:pPr>
            <w:r>
              <w:rPr>
                <w:rFonts w:ascii="Calibri" w:cs="Calibri" w:eastAsia="Calibri" w:hAnsi="Calibri"/>
                <w:b/>
                <w:bCs/>
                <w:color w:val="FFFFFF"/>
                <w:sz w:val="19"/>
                <w:szCs w:val="19"/>
              </w:rPr>
              <w:t xml:space="preserve">Segmento de mercado (el cliente)</w:t>
            </w:r>
          </w:p>
        </w:tc>
      </w:tr>
      <w:tr>
        <w:trPr>
          <w:tblHeader w:val="false"/>
        </w:trPr>
        <w:tc>
          <w:tcPr>
            <w:tcW w:type="dxa" w:w="15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Productos / Tareas</w:t>
            </w:r>
          </w:p>
        </w:tc>
        <w:tc>
          <w:tcPr>
            <w:tcW w:type="dxa" w:w="393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Plataforma de matchmaking entre financiadores públicos y solicitantes de recursos; asistente de IA para convocatorias; metodología de identificación de financiación.</w:t>
            </w:r>
          </w:p>
        </w:tc>
        <w:tc>
          <w:tcPr>
            <w:tcW w:type="dxa" w:w="393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Trabajos del cliente: entender y acceder a las convocatorias a nivel nacional, de orden público y privado.</w:t>
            </w:r>
          </w:p>
        </w:tc>
      </w:tr>
      <w:tr>
        <w:trPr>
          <w:tblHeader w:val="false"/>
        </w:trPr>
        <w:tc>
          <w:tcPr>
            <w:tcW w:type="dxa" w:w="15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Alegrías</w:t>
            </w:r>
          </w:p>
        </w:tc>
        <w:tc>
          <w:tcPr>
            <w:tcW w:type="dxa" w:w="393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Creadores de alegrías: acceso a créditos y recursos de cofinanciación, con apoyo para agilizar las convocatorias que resuelven necesidades territoriales.</w:t>
            </w:r>
          </w:p>
        </w:tc>
        <w:tc>
          <w:tcPr>
            <w:tcW w:type="dxa" w:w="393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Alegrías esperadas: proyectos estructurados en prefactibilidad para los municipios; un banco de proyectos pre-estructurado.</w:t>
            </w:r>
          </w:p>
        </w:tc>
      </w:tr>
      <w:tr>
        <w:trPr>
          <w:tblHeader w:val="false"/>
        </w:trPr>
        <w:tc>
          <w:tcPr>
            <w:tcW w:type="dxa" w:w="15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Frustraciones</w:t>
            </w:r>
          </w:p>
        </w:tc>
        <w:tc>
          <w:tcPr>
            <w:tcW w:type="dxa" w:w="393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Aliviadores de frustraciones: reducción de la asimetría de información entre las entidades oferentes (nacionales y departamentales) y financieras, y los demandantes (regionales), especialmente municipios categoría 6.</w:t>
            </w:r>
          </w:p>
        </w:tc>
        <w:tc>
          <w:tcPr>
            <w:tcW w:type="dxa" w:w="393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Frustraciones: complejidad y alta variedad; debilidad de los municipios para estructurar; fragmentación de la oferta; inexistencia de una lógica común de financiación; procesos desiertos con acumulación de fondos; municipios pequeños que no logran cofinanciación.</w:t>
            </w:r>
          </w:p>
        </w:tc>
      </w:tr>
    </w:tbl>
    <w:p>
      <w:pPr>
        <w:pStyle w:val="Heading2"/>
        <w:spacing w:after="110" w:before="240"/>
      </w:pPr>
      <w:r>
        <w:rPr>
          <w:rFonts w:ascii="Calibri" w:cs="Calibri" w:eastAsia="Calibri" w:hAnsi="Calibri"/>
          <w:b/>
          <w:bCs/>
          <w:color w:val="2E5496"/>
        </w:rPr>
        <w:t xml:space="preserve">1.2 Propuesta de valor consolidada</w:t>
      </w:r>
    </w:p>
    <w:p>
      <w:pPr>
        <w:spacing w:after="120" w:line="276"/>
        <w:jc w:val="both"/>
      </w:pPr>
      <w:r>
        <w:rPr>
          <w:rFonts w:ascii="Calibri" w:cs="Calibri" w:eastAsia="Calibri" w:hAnsi="Calibri"/>
          <w:sz w:val="22"/>
          <w:szCs w:val="22"/>
        </w:rPr>
        <w:t xml:space="preserve">Aplicando la plantilla de «anatomía de una propuesta de valor» (Nuestro [producto] ayuda a [cliente] que quiere [tarea] para [aliviar dolor] y [generar beneficio], a diferencia de [competencia]), el lienzo se sintetiza en una sola frase:</w:t>
      </w:r>
    </w:p>
    <w:tbl>
      <w:tblPr>
        <w:tblW w:type="pct" w:w="100%"/>
        <w:tblBorders>
          <w:top w:val="single" w:color="375623" w:sz="2"/>
          <w:left w:val="single" w:color="375623" w:sz="14"/>
          <w:bottom w:val="single" w:color="375623" w:sz="2"/>
          <w:right w:val="single" w:color="375623" w:sz="2"/>
          <w:insideH w:val="none"/>
          <w:insideV w:val="none"/>
        </w:tblBorders>
      </w:tblPr>
      <w:tblGrid>
        <w:gridCol w:w="9360"/>
      </w:tblGrid>
      <w:tr>
        <w:tc>
          <w:tcPr>
            <w:tcW w:type="dxa" w:w="9360"/>
            <w:shd w:fill="E2EFDA" w:val="clear"/>
            <w:tcMar>
              <w:top w:type="dxa" w:w="100"/>
              <w:left w:type="dxa" w:w="160"/>
              <w:bottom w:type="dxa" w:w="100"/>
              <w:right w:type="dxa" w:w="160"/>
            </w:tcMar>
          </w:tcPr>
          <w:p>
            <w:pPr>
              <w:spacing w:after="40"/>
              <w:jc w:val="both"/>
            </w:pPr>
            <w:r>
              <w:rPr>
                <w:rFonts w:ascii="Calibri" w:cs="Calibri" w:eastAsia="Calibri" w:hAnsi="Calibri"/>
                <w:sz w:val="21"/>
                <w:szCs w:val="21"/>
              </w:rPr>
              <w:t xml:space="preserve">Nuestro PuBlitec ayuda a los financiadores de gobiernos regionales que quieren maximizar la colocación de sus recursos de inversión, y a los municipios formuladores que quieren reducir errores de estructuración para aumentar su tasa de éxito en la aprobación del financiamiento de proyectos, a diferencia de los mecanismos fragmentados y sin asistencia técnica que hoy existen.</w:t>
            </w:r>
          </w:p>
        </w:tc>
      </w:tr>
    </w:tbl>
    <w:p>
      <w:pPr>
        <w:spacing w:after="120" w:line="276"/>
        <w:jc w:val="both"/>
      </w:pPr>
      <w:r>
        <w:rPr>
          <w:rFonts w:ascii="Calibri" w:cs="Calibri" w:eastAsia="Calibri" w:hAnsi="Calibri"/>
          <w:sz w:val="22"/>
          <w:szCs w:val="22"/>
        </w:rPr>
        <w:t xml:space="preserve">La frase consolida los dos arquetipos de cliente en paralelo —un financiador que busca maximizar colocación con menor riesgo y un municipio que busca aumentar su tasa de éxito—, manteniendo metodológicamente al financiador como segmento prioritario.</w:t>
      </w:r>
    </w:p>
    <w:p>
      <w:pPr>
        <w:pStyle w:val="Heading1"/>
        <w:spacing w:after="150" w:before="300"/>
      </w:pPr>
      <w:r>
        <w:rPr>
          <w:rFonts w:ascii="Calibri" w:cs="Calibri" w:eastAsia="Calibri" w:hAnsi="Calibri"/>
          <w:b/>
          <w:bCs/>
          <w:color w:val="1F3864"/>
        </w:rPr>
        <w:t xml:space="preserve">2. Segmentos de cliente</w:t>
      </w:r>
    </w:p>
    <w:p>
      <w:pPr>
        <w:pStyle w:val="Heading2"/>
        <w:spacing w:after="110" w:before="240"/>
      </w:pPr>
      <w:r>
        <w:rPr>
          <w:rFonts w:ascii="Calibri" w:cs="Calibri" w:eastAsia="Calibri" w:hAnsi="Calibri"/>
          <w:b/>
          <w:bCs/>
          <w:color w:val="2E5496"/>
        </w:rPr>
        <w:t xml:space="preserve">Segmento A — Financiador territorial (prioritario)</w:t>
      </w:r>
    </w:p>
    <w:p>
      <w:pPr>
        <w:spacing w:after="120" w:line="276"/>
        <w:jc w:val="both"/>
      </w:pPr>
      <w:r>
        <w:rPr>
          <w:rFonts w:ascii="Calibri" w:cs="Calibri" w:eastAsia="Calibri" w:hAnsi="Calibri"/>
          <w:sz w:val="22"/>
          <w:szCs w:val="22"/>
        </w:rPr>
        <w:t xml:space="preserve">Entidades públicas o privadas que canalizan recursos hacia la inversión territorial municipal. Comparten la función de canalización y el problema de evaluar la capacidad municipal antes de comprometer recursos. Seis subtipos:</w:t>
      </w:r>
    </w:p>
    <w:p>
      <w:pPr>
        <w:pStyle w:val="ListParagraph"/>
        <w:numPr>
          <w:ilvl w:val="0"/>
          <w:numId w:val="1"/>
        </w:numPr>
        <w:spacing w:after="70" w:line="272"/>
        <w:jc w:val="both"/>
      </w:pPr>
      <w:r>
        <w:rPr>
          <w:rFonts w:ascii="Calibri" w:cs="Calibri" w:eastAsia="Calibri" w:hAnsi="Calibri"/>
          <w:sz w:val="22"/>
          <w:szCs w:val="22"/>
        </w:rPr>
        <w:t xml:space="preserve">Institutos de fomento departamental (IDEA, INFIBOY, INFIVALLE, INFIANTIOQUIA y similares).</w:t>
      </w:r>
    </w:p>
    <w:p>
      <w:pPr>
        <w:pStyle w:val="ListParagraph"/>
        <w:numPr>
          <w:ilvl w:val="0"/>
          <w:numId w:val="1"/>
        </w:numPr>
        <w:spacing w:after="70" w:line="272"/>
        <w:jc w:val="both"/>
      </w:pPr>
      <w:r>
        <w:rPr>
          <w:rFonts w:ascii="Calibri" w:cs="Calibri" w:eastAsia="Calibri" w:hAnsi="Calibri"/>
          <w:sz w:val="22"/>
          <w:szCs w:val="22"/>
        </w:rPr>
        <w:t xml:space="preserve">Banca pública de segundo piso (Findeter línea territorial, Bancóldex línea de gobierno).</w:t>
      </w:r>
    </w:p>
    <w:p>
      <w:pPr>
        <w:pStyle w:val="ListParagraph"/>
        <w:numPr>
          <w:ilvl w:val="0"/>
          <w:numId w:val="1"/>
        </w:numPr>
        <w:spacing w:after="70" w:line="272"/>
        <w:jc w:val="both"/>
      </w:pPr>
      <w:r>
        <w:rPr>
          <w:rFonts w:ascii="Calibri" w:cs="Calibri" w:eastAsia="Calibri" w:hAnsi="Calibri"/>
          <w:sz w:val="22"/>
          <w:szCs w:val="22"/>
        </w:rPr>
        <w:t xml:space="preserve">Banca privada con línea de Banca Gobierno (Bancolombia, Davivienda, BBVA, AV Villas).</w:t>
      </w:r>
    </w:p>
    <w:p>
      <w:pPr>
        <w:pStyle w:val="ListParagraph"/>
        <w:numPr>
          <w:ilvl w:val="0"/>
          <w:numId w:val="1"/>
        </w:numPr>
        <w:spacing w:after="70" w:line="272"/>
        <w:jc w:val="both"/>
      </w:pPr>
      <w:r>
        <w:rPr>
          <w:rFonts w:ascii="Calibri" w:cs="Calibri" w:eastAsia="Calibri" w:hAnsi="Calibri"/>
          <w:sz w:val="22"/>
          <w:szCs w:val="22"/>
        </w:rPr>
        <w:t xml:space="preserve">Ministerios sectoriales y agencias del orden nacional (Vivienda, Educación, Salud, Transporte, Agricultura; ANI, ART, ADR, Prosperidad Social).</w:t>
      </w:r>
    </w:p>
    <w:p>
      <w:pPr>
        <w:pStyle w:val="ListParagraph"/>
        <w:numPr>
          <w:ilvl w:val="0"/>
          <w:numId w:val="1"/>
        </w:numPr>
        <w:spacing w:after="70" w:line="272"/>
        <w:jc w:val="both"/>
      </w:pPr>
      <w:r>
        <w:rPr>
          <w:rFonts w:ascii="Calibri" w:cs="Calibri" w:eastAsia="Calibri" w:hAnsi="Calibri"/>
          <w:sz w:val="22"/>
          <w:szCs w:val="22"/>
        </w:rPr>
        <w:t xml:space="preserve">Sistema General de Regalías (DNP, OCAD departamentales y regionales).</w:t>
      </w:r>
    </w:p>
    <w:p>
      <w:pPr>
        <w:pStyle w:val="ListParagraph"/>
        <w:numPr>
          <w:ilvl w:val="0"/>
          <w:numId w:val="1"/>
        </w:numPr>
        <w:spacing w:after="70" w:line="272"/>
        <w:jc w:val="both"/>
      </w:pPr>
      <w:r>
        <w:rPr>
          <w:rFonts w:ascii="Calibri" w:cs="Calibri" w:eastAsia="Calibri" w:hAnsi="Calibri"/>
          <w:sz w:val="22"/>
          <w:szCs w:val="22"/>
        </w:rPr>
        <w:t xml:space="preserve">Banca multilateral con línea subnacional (BID, CAF, Banco Mundial).</w:t>
      </w:r>
    </w:p>
    <w:p>
      <w:pPr>
        <w:pStyle w:val="Heading2"/>
        <w:spacing w:after="110" w:before="240"/>
      </w:pPr>
      <w:r>
        <w:rPr>
          <w:rFonts w:ascii="Calibri" w:cs="Calibri" w:eastAsia="Calibri" w:hAnsi="Calibri"/>
          <w:b/>
          <w:bCs/>
          <w:color w:val="2E5496"/>
        </w:rPr>
        <w:t xml:space="preserve">Segmento B — Municipio formulador (paralelo)</w:t>
      </w:r>
    </w:p>
    <w:p>
      <w:pPr>
        <w:spacing w:after="120" w:line="276"/>
        <w:jc w:val="both"/>
      </w:pPr>
      <w:r>
        <w:rPr>
          <w:rFonts w:ascii="Calibri" w:cs="Calibri" w:eastAsia="Calibri" w:hAnsi="Calibri"/>
          <w:sz w:val="22"/>
          <w:szCs w:val="22"/>
        </w:rPr>
        <w:t xml:space="preserve">Municipios de categorías 3, 4 y 5 (la «clase media municipal» según la Resolución CGN 338/2025, conforme a la Ley 617), con oficina de planeación pero capacidad técnica insuficiente para sostener una tasa razonable de aprobación. El tomador de decisión es el secretario de planeación; el usuario operativo es el equipo técnico (uno a tres profesionales, con frecuencia rotativos).</w:t>
      </w:r>
    </w:p>
    <w:p>
      <w:pPr>
        <w:pStyle w:val="Heading1"/>
        <w:spacing w:after="150" w:before="300"/>
      </w:pPr>
      <w:r>
        <w:rPr>
          <w:rFonts w:ascii="Calibri" w:cs="Calibri" w:eastAsia="Calibri" w:hAnsi="Calibri"/>
          <w:b/>
          <w:bCs/>
          <w:color w:val="1F3864"/>
        </w:rPr>
        <w:t xml:space="preserve">3. Modelo de roles (T/U/C/S/B/I)</w:t>
      </w:r>
    </w:p>
    <w:p>
      <w:pPr>
        <w:spacing w:after="120" w:line="276"/>
        <w:jc w:val="both"/>
      </w:pPr>
      <w:r>
        <w:rPr>
          <w:rFonts w:ascii="Calibri" w:cs="Calibri" w:eastAsia="Calibri" w:hAnsi="Calibri"/>
          <w:sz w:val="22"/>
          <w:szCs w:val="22"/>
        </w:rPr>
        <w:t xml:space="preserve">Conforme al modelo del taller: </w:t>
      </w:r>
      <w:r>
        <w:rPr>
          <w:rFonts w:ascii="Calibri" w:cs="Calibri" w:eastAsia="Calibri" w:hAnsi="Calibri"/>
          <w:b/>
          <w:bCs/>
          <w:sz w:val="22"/>
          <w:szCs w:val="22"/>
        </w:rPr>
        <w:t xml:space="preserve">T</w:t>
      </w:r>
      <w:r>
        <w:rPr>
          <w:rFonts w:ascii="Calibri" w:cs="Calibri" w:eastAsia="Calibri" w:hAnsi="Calibri"/>
          <w:sz w:val="22"/>
          <w:szCs w:val="22"/>
        </w:rPr>
        <w:t xml:space="preserve">omador de decisiones, </w:t>
      </w:r>
      <w:r>
        <w:rPr>
          <w:rFonts w:ascii="Calibri" w:cs="Calibri" w:eastAsia="Calibri" w:hAnsi="Calibri"/>
          <w:b/>
          <w:bCs/>
          <w:sz w:val="22"/>
          <w:szCs w:val="22"/>
        </w:rPr>
        <w:t xml:space="preserve">U</w:t>
      </w:r>
      <w:r>
        <w:rPr>
          <w:rFonts w:ascii="Calibri" w:cs="Calibri" w:eastAsia="Calibri" w:hAnsi="Calibri"/>
          <w:sz w:val="22"/>
          <w:szCs w:val="22"/>
        </w:rPr>
        <w:t xml:space="preserve">suario operativo, </w:t>
      </w:r>
      <w:r>
        <w:rPr>
          <w:rFonts w:ascii="Calibri" w:cs="Calibri" w:eastAsia="Calibri" w:hAnsi="Calibri"/>
          <w:b/>
          <w:bCs/>
          <w:sz w:val="22"/>
          <w:szCs w:val="22"/>
        </w:rPr>
        <w:t xml:space="preserve">C</w:t>
      </w:r>
      <w:r>
        <w:rPr>
          <w:rFonts w:ascii="Calibri" w:cs="Calibri" w:eastAsia="Calibri" w:hAnsi="Calibri"/>
          <w:sz w:val="22"/>
          <w:szCs w:val="22"/>
        </w:rPr>
        <w:t xml:space="preserve">omprador, </w:t>
      </w:r>
      <w:r>
        <w:rPr>
          <w:rFonts w:ascii="Calibri" w:cs="Calibri" w:eastAsia="Calibri" w:hAnsi="Calibri"/>
          <w:b/>
          <w:bCs/>
          <w:sz w:val="22"/>
          <w:szCs w:val="22"/>
        </w:rPr>
        <w:t xml:space="preserve">S</w:t>
      </w:r>
      <w:r>
        <w:rPr>
          <w:rFonts w:ascii="Calibri" w:cs="Calibri" w:eastAsia="Calibri" w:hAnsi="Calibri"/>
          <w:sz w:val="22"/>
          <w:szCs w:val="22"/>
        </w:rPr>
        <w:t xml:space="preserve">aboteador, </w:t>
      </w:r>
      <w:r>
        <w:rPr>
          <w:rFonts w:ascii="Calibri" w:cs="Calibri" w:eastAsia="Calibri" w:hAnsi="Calibri"/>
          <w:b/>
          <w:bCs/>
          <w:sz w:val="22"/>
          <w:szCs w:val="22"/>
        </w:rPr>
        <w:t xml:space="preserve">B</w:t>
      </w:r>
      <w:r>
        <w:rPr>
          <w:rFonts w:ascii="Calibri" w:cs="Calibri" w:eastAsia="Calibri" w:hAnsi="Calibri"/>
          <w:sz w:val="22"/>
          <w:szCs w:val="22"/>
        </w:rPr>
        <w:t xml:space="preserve">eneficiario e </w:t>
      </w:r>
      <w:r>
        <w:rPr>
          <w:rFonts w:ascii="Calibri" w:cs="Calibri" w:eastAsia="Calibri" w:hAnsi="Calibri"/>
          <w:b/>
          <w:bCs/>
          <w:sz w:val="22"/>
          <w:szCs w:val="22"/>
        </w:rPr>
        <w:t xml:space="preserve">I</w:t>
      </w:r>
      <w:r>
        <w:rPr>
          <w:rFonts w:ascii="Calibri" w:cs="Calibri" w:eastAsia="Calibri" w:hAnsi="Calibri"/>
          <w:sz w:val="22"/>
          <w:szCs w:val="22"/>
        </w:rPr>
        <w:t xml:space="preserve">nfluenciador.</w:t>
      </w:r>
    </w:p>
    <w:p>
      <w:pPr>
        <w:pStyle w:val="Heading3"/>
        <w:spacing w:after="90" w:before="180"/>
      </w:pPr>
      <w:r>
        <w:rPr>
          <w:rFonts w:ascii="Calibri" w:cs="Calibri" w:eastAsia="Calibri" w:hAnsi="Calibri"/>
          <w:b/>
          <w:bCs/>
          <w:i/>
          <w:iCs/>
          <w:color w:val="2E5496"/>
        </w:rPr>
        <w:t xml:space="preserve">Segmento A — Financiador territorial</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7660"/>
      </w:tblGrid>
      <w:tr>
        <w:trPr>
          <w:tblHeader/>
        </w:trPr>
        <w:tc>
          <w:tcPr>
            <w:tcW w:type="dxa" w:w="1700"/>
            <w:shd w:fill="2E5496" w:val="clear"/>
            <w:tcMar>
              <w:top w:type="dxa" w:w="60"/>
              <w:left w:type="dxa" w:w="100"/>
              <w:bottom w:type="dxa" w:w="60"/>
              <w:right w:type="dxa" w:w="100"/>
            </w:tcMar>
            <w:vAlign w:val="top"/>
          </w:tcPr>
          <w:p>
            <w:pPr>
              <w:spacing w:after="20" w:line="252"/>
            </w:pPr>
            <w:r>
              <w:rPr>
                <w:rFonts w:ascii="Calibri" w:cs="Calibri" w:eastAsia="Calibri" w:hAnsi="Calibri"/>
                <w:b/>
                <w:bCs/>
                <w:color w:val="FFFFFF"/>
                <w:sz w:val="19"/>
                <w:szCs w:val="19"/>
              </w:rPr>
              <w:t xml:space="preserve">Rol</w:t>
            </w:r>
          </w:p>
        </w:tc>
        <w:tc>
          <w:tcPr>
            <w:tcW w:type="dxa" w:w="7660"/>
            <w:shd w:fill="2E5496" w:val="clear"/>
            <w:tcMar>
              <w:top w:type="dxa" w:w="60"/>
              <w:left w:type="dxa" w:w="100"/>
              <w:bottom w:type="dxa" w:w="60"/>
              <w:right w:type="dxa" w:w="100"/>
            </w:tcMar>
            <w:vAlign w:val="top"/>
          </w:tcPr>
          <w:p>
            <w:pPr>
              <w:spacing w:after="20" w:line="252"/>
            </w:pPr>
            <w:r>
              <w:rPr>
                <w:rFonts w:ascii="Calibri" w:cs="Calibri" w:eastAsia="Calibri" w:hAnsi="Calibri"/>
                <w:b/>
                <w:bCs/>
                <w:color w:val="FFFFFF"/>
                <w:sz w:val="19"/>
                <w:szCs w:val="19"/>
              </w:rPr>
              <w:t xml:space="preserve">Actor en PuBlitec</w:t>
            </w:r>
          </w:p>
        </w:tc>
      </w:tr>
      <w:tr>
        <w:trPr>
          <w:tblHeader w:val="false"/>
        </w:trPr>
        <w:tc>
          <w:tcPr>
            <w:tcW w:type="dxa" w:w="17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T · Tomador</w:t>
            </w:r>
          </w:p>
        </w:tc>
        <w:tc>
          <w:tcPr>
            <w:tcW w:type="dxa" w:w="766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En banca: vicepresidente o director de banca de gobierno/territorial. En instituto de fomento: gerente, subgerente comercial o director de crédito territorial. En ministerio/agencia: director de programa, viceministro sectorial o gerente regional. En multilateral: representante de país o jefe de operaciones subnacionales.</w:t>
            </w:r>
          </w:p>
        </w:tc>
      </w:tr>
      <w:tr>
        <w:trPr>
          <w:tblHeader w:val="false"/>
        </w:trPr>
        <w:tc>
          <w:tcPr>
            <w:tcW w:type="dxa" w:w="17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U · Usuario</w:t>
            </w:r>
          </w:p>
        </w:tc>
        <w:tc>
          <w:tcPr>
            <w:tcW w:type="dxa" w:w="766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Analistas de crédito territorial, oficiales de cuenta gubernamental, profesionales de acompañamiento técnico, gestores o coordinadores de programa, especialistas sectoriales. Personal que opera la relación día a día con municipios.</w:t>
            </w:r>
          </w:p>
        </w:tc>
      </w:tr>
      <w:tr>
        <w:trPr>
          <w:tblHeader w:val="false"/>
        </w:trPr>
        <w:tc>
          <w:tcPr>
            <w:tcW w:type="dxa" w:w="17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C · Comprador</w:t>
            </w:r>
          </w:p>
        </w:tc>
        <w:tc>
          <w:tcPr>
            <w:tcW w:type="dxa" w:w="766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Vicepresidencia financiera, gerencia comercial o el órgano directivo que aprueba contrataciones de tecnología.</w:t>
            </w:r>
          </w:p>
        </w:tc>
      </w:tr>
      <w:tr>
        <w:trPr>
          <w:tblHeader w:val="false"/>
        </w:trPr>
        <w:tc>
          <w:tcPr>
            <w:tcW w:type="dxa" w:w="17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S · Saboteador</w:t>
            </w:r>
          </w:p>
        </w:tc>
        <w:tc>
          <w:tcPr>
            <w:tcW w:type="dxa" w:w="766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Área de riesgo (si percibe que compromete su autonomía evaluativa); compliance regulatorio (si hay implicaciones de scoring crediticio); proveedores de acompañamiento técnico tradicional que pierden mercado.</w:t>
            </w:r>
          </w:p>
        </w:tc>
      </w:tr>
      <w:tr>
        <w:trPr>
          <w:tblHeader w:val="false"/>
        </w:trPr>
        <w:tc>
          <w:tcPr>
            <w:tcW w:type="dxa" w:w="17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B · Beneficiario</w:t>
            </w:r>
          </w:p>
        </w:tc>
        <w:tc>
          <w:tcPr>
            <w:tcW w:type="dxa" w:w="766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Municipios cliente del financiador (no deciden la compra pero experimentan mejores condiciones de financiación).</w:t>
            </w:r>
          </w:p>
        </w:tc>
      </w:tr>
      <w:tr>
        <w:trPr>
          <w:tblHeader w:val="false"/>
        </w:trPr>
        <w:tc>
          <w:tcPr>
            <w:tcW w:type="dxa" w:w="17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I · Influenciador</w:t>
            </w:r>
          </w:p>
        </w:tc>
        <w:tc>
          <w:tcPr>
            <w:tcW w:type="dxa" w:w="766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Áreas de tecnología, innovación y transformación digital del banco; gremios (Asobancaria); multilaterales (BID Lab, CAF).</w:t>
            </w:r>
          </w:p>
        </w:tc>
      </w:tr>
    </w:tbl>
    <w:p>
      <w:pPr>
        <w:pStyle w:val="Heading3"/>
        <w:spacing w:after="90" w:before="180"/>
      </w:pPr>
      <w:r>
        <w:rPr>
          <w:rFonts w:ascii="Calibri" w:cs="Calibri" w:eastAsia="Calibri" w:hAnsi="Calibri"/>
          <w:b/>
          <w:bCs/>
          <w:i/>
          <w:iCs/>
          <w:color w:val="2E5496"/>
        </w:rPr>
        <w:t xml:space="preserve">Segmento B — Municipio formulador</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7660"/>
      </w:tblGrid>
      <w:tr>
        <w:trPr>
          <w:tblHeader/>
        </w:trPr>
        <w:tc>
          <w:tcPr>
            <w:tcW w:type="dxa" w:w="1700"/>
            <w:shd w:fill="2E5496" w:val="clear"/>
            <w:tcMar>
              <w:top w:type="dxa" w:w="60"/>
              <w:left w:type="dxa" w:w="100"/>
              <w:bottom w:type="dxa" w:w="60"/>
              <w:right w:type="dxa" w:w="100"/>
            </w:tcMar>
            <w:vAlign w:val="top"/>
          </w:tcPr>
          <w:p>
            <w:pPr>
              <w:spacing w:after="20" w:line="252"/>
            </w:pPr>
            <w:r>
              <w:rPr>
                <w:rFonts w:ascii="Calibri" w:cs="Calibri" w:eastAsia="Calibri" w:hAnsi="Calibri"/>
                <w:b/>
                <w:bCs/>
                <w:color w:val="FFFFFF"/>
                <w:sz w:val="19"/>
                <w:szCs w:val="19"/>
              </w:rPr>
              <w:t xml:space="preserve">Rol</w:t>
            </w:r>
          </w:p>
        </w:tc>
        <w:tc>
          <w:tcPr>
            <w:tcW w:type="dxa" w:w="7660"/>
            <w:shd w:fill="2E5496" w:val="clear"/>
            <w:tcMar>
              <w:top w:type="dxa" w:w="60"/>
              <w:left w:type="dxa" w:w="100"/>
              <w:bottom w:type="dxa" w:w="60"/>
              <w:right w:type="dxa" w:w="100"/>
            </w:tcMar>
            <w:vAlign w:val="top"/>
          </w:tcPr>
          <w:p>
            <w:pPr>
              <w:spacing w:after="20" w:line="252"/>
            </w:pPr>
            <w:r>
              <w:rPr>
                <w:rFonts w:ascii="Calibri" w:cs="Calibri" w:eastAsia="Calibri" w:hAnsi="Calibri"/>
                <w:b/>
                <w:bCs/>
                <w:color w:val="FFFFFF"/>
                <w:sz w:val="19"/>
                <w:szCs w:val="19"/>
              </w:rPr>
              <w:t xml:space="preserve">Actor en PuBlitec</w:t>
            </w:r>
          </w:p>
        </w:tc>
      </w:tr>
      <w:tr>
        <w:trPr>
          <w:tblHeader w:val="false"/>
        </w:trPr>
        <w:tc>
          <w:tcPr>
            <w:tcW w:type="dxa" w:w="17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T · Tomador</w:t>
            </w:r>
          </w:p>
        </w:tc>
        <w:tc>
          <w:tcPr>
            <w:tcW w:type="dxa" w:w="766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Alcalde con aval del secretario de planeación. En cat. 5 pequeños el alcalde decide directamente; en cat. 3 y 4 suele requerir aval del concejo si compromete recursos propios.</w:t>
            </w:r>
          </w:p>
        </w:tc>
      </w:tr>
      <w:tr>
        <w:trPr>
          <w:tblHeader w:val="false"/>
        </w:trPr>
        <w:tc>
          <w:tcPr>
            <w:tcW w:type="dxa" w:w="17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U · Usuario</w:t>
            </w:r>
          </w:p>
        </w:tc>
        <w:tc>
          <w:tcPr>
            <w:tcW w:type="dxa" w:w="766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Equipo técnico de planeación municipal (uno a tres profesionales), con alta rotación entre administraciones.</w:t>
            </w:r>
          </w:p>
        </w:tc>
      </w:tr>
      <w:tr>
        <w:trPr>
          <w:tblHeader w:val="false"/>
        </w:trPr>
        <w:tc>
          <w:tcPr>
            <w:tcW w:type="dxa" w:w="17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C · Comprador</w:t>
            </w:r>
          </w:p>
        </w:tc>
        <w:tc>
          <w:tcPr>
            <w:tcW w:type="dxa" w:w="766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Alcalde con aval del secretario de hacienda. En muchos casos el comprador efectivo es un tercero (gobernación, ministerio sectorial, cooperación, banca de soporte) que paga por el municipio.</w:t>
            </w:r>
          </w:p>
        </w:tc>
      </w:tr>
      <w:tr>
        <w:trPr>
          <w:tblHeader w:val="false"/>
        </w:trPr>
        <w:tc>
          <w:tcPr>
            <w:tcW w:type="dxa" w:w="17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S · Saboteador</w:t>
            </w:r>
          </w:p>
        </w:tc>
        <w:tc>
          <w:tcPr>
            <w:tcW w:type="dxa" w:w="766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Consultoría externa de formulación que pierde mercado; oficinas del DNP que perciben competencia con MGA Web; equipos técnicos con resistencia al cambio de método.</w:t>
            </w:r>
          </w:p>
        </w:tc>
      </w:tr>
      <w:tr>
        <w:trPr>
          <w:tblHeader w:val="false"/>
        </w:trPr>
        <w:tc>
          <w:tcPr>
            <w:tcW w:type="dxa" w:w="17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B · Beneficiario</w:t>
            </w:r>
          </w:p>
        </w:tc>
        <w:tc>
          <w:tcPr>
            <w:tcW w:type="dxa" w:w="766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Comunidad receptora de la obra; alcalde por el costo político positivo; siguiente administración que hereda capacidad institucional.</w:t>
            </w:r>
          </w:p>
        </w:tc>
      </w:tr>
      <w:tr>
        <w:trPr>
          <w:tblHeader w:val="false"/>
        </w:trPr>
        <w:tc>
          <w:tcPr>
            <w:tcW w:type="dxa" w:w="17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I · Influenciador</w:t>
            </w:r>
          </w:p>
        </w:tc>
        <w:tc>
          <w:tcPr>
            <w:tcW w:type="dxa" w:w="766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Gobernación departamental; ministerios sectoriales; Federación Colombiana de Municipios; asociaciones (Asocapitales, Asointermedias); concejales.</w:t>
            </w:r>
          </w:p>
        </w:tc>
      </w:tr>
    </w:tbl>
    <w:tbl>
      <w:tblPr>
        <w:tblW w:type="pct" w:w="100%"/>
        <w:tblBorders>
          <w:top w:val="single" w:color="7F6000" w:sz="2"/>
          <w:left w:val="single" w:color="7F6000" w:sz="14"/>
          <w:bottom w:val="single" w:color="7F6000" w:sz="2"/>
          <w:right w:val="single" w:color="7F6000" w:sz="2"/>
          <w:insideH w:val="none"/>
          <w:insideV w:val="none"/>
        </w:tblBorders>
      </w:tblPr>
      <w:tblGrid>
        <w:gridCol w:w="9360"/>
      </w:tblGrid>
      <w:tr>
        <w:tc>
          <w:tcPr>
            <w:tcW w:type="dxa" w:w="9360"/>
            <w:shd w:fill="FBF3D5" w:val="clear"/>
            <w:tcMar>
              <w:top w:type="dxa" w:w="100"/>
              <w:left w:type="dxa" w:w="160"/>
              <w:bottom w:type="dxa" w:w="100"/>
              <w:right w:type="dxa" w:w="160"/>
            </w:tcMar>
          </w:tcPr>
          <w:p>
            <w:pPr>
              <w:spacing w:after="50"/>
            </w:pPr>
            <w:r>
              <w:rPr>
                <w:rFonts w:ascii="Calibri" w:cs="Calibri" w:eastAsia="Calibri" w:hAnsi="Calibri"/>
                <w:b/>
                <w:bCs/>
                <w:color w:val="7F6000"/>
                <w:sz w:val="22"/>
                <w:szCs w:val="22"/>
              </w:rPr>
              <w:t xml:space="preserve">Tip para la primera ronda</w:t>
            </w:r>
          </w:p>
          <w:p>
            <w:pPr>
              <w:spacing w:after="40"/>
              <w:jc w:val="both"/>
            </w:pPr>
            <w:r>
              <w:rPr>
                <w:rFonts w:ascii="Calibri" w:cs="Calibri" w:eastAsia="Calibri" w:hAnsi="Calibri"/>
                <w:sz w:val="21"/>
                <w:szCs w:val="21"/>
              </w:rPr>
              <w:t xml:space="preserve">Priorizar entrevistas con gerentes de nivel medio (roles T y U operativos) sobre altos directivos: facilita el acceso y prepara para escalar la jerarquía en rondas posteriores.</w:t>
            </w:r>
          </w:p>
        </w:tc>
      </w:tr>
    </w:tbl>
    <w:p>
      <w:r>
        <w:br w:type="page"/>
      </w:r>
    </w:p>
    <w:p>
      <w:pPr>
        <w:pStyle w:val="Heading1"/>
        <w:spacing w:after="150" w:before="300"/>
      </w:pPr>
      <w:r>
        <w:rPr>
          <w:rFonts w:ascii="Calibri" w:cs="Calibri" w:eastAsia="Calibri" w:hAnsi="Calibri"/>
          <w:b/>
          <w:bCs/>
          <w:color w:val="1F3864"/>
        </w:rPr>
        <w:t xml:space="preserve">4. Matriz de descubrimiento — Segmento A · Financiador</w:t>
      </w:r>
    </w:p>
    <w:p>
      <w:pPr>
        <w:spacing w:after="120" w:line="276"/>
        <w:jc w:val="both"/>
      </w:pPr>
      <w:r>
        <w:rPr>
          <w:rFonts w:ascii="Calibri" w:cs="Calibri" w:eastAsia="Calibri" w:hAnsi="Calibri"/>
          <w:sz w:val="22"/>
          <w:szCs w:val="22"/>
        </w:rPr>
        <w:t xml:space="preserve">Cada premisa se expresa como suposición cualitativa y como hipótesis comprobable con umbral numérico, redactada desde la perspectiva del cliente y sin mencionar la solución.</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3900"/>
        <w:gridCol w:w="3960"/>
      </w:tblGrid>
      <w:tr>
        <w:trPr>
          <w:tblHeader/>
        </w:trPr>
        <w:tc>
          <w:tcPr>
            <w:tcW w:type="dxa" w:w="1500"/>
            <w:shd w:fill="2E5496" w:val="clear"/>
            <w:tcMar>
              <w:top w:type="dxa" w:w="60"/>
              <w:left w:type="dxa" w:w="100"/>
              <w:bottom w:type="dxa" w:w="60"/>
              <w:right w:type="dxa" w:w="100"/>
            </w:tcMar>
            <w:vAlign w:val="top"/>
          </w:tcPr>
          <w:p>
            <w:pPr>
              <w:spacing w:after="20" w:line="252"/>
            </w:pPr>
            <w:r>
              <w:rPr>
                <w:rFonts w:ascii="Calibri" w:cs="Calibri" w:eastAsia="Calibri" w:hAnsi="Calibri"/>
                <w:b/>
                <w:bCs/>
                <w:color w:val="FFFFFF"/>
                <w:sz w:val="19"/>
                <w:szCs w:val="19"/>
              </w:rPr>
              <w:t xml:space="preserve">Premisa</w:t>
            </w:r>
          </w:p>
        </w:tc>
        <w:tc>
          <w:tcPr>
            <w:tcW w:type="dxa" w:w="3900"/>
            <w:shd w:fill="2E5496" w:val="clear"/>
            <w:tcMar>
              <w:top w:type="dxa" w:w="60"/>
              <w:left w:type="dxa" w:w="100"/>
              <w:bottom w:type="dxa" w:w="60"/>
              <w:right w:type="dxa" w:w="100"/>
            </w:tcMar>
            <w:vAlign w:val="top"/>
          </w:tcPr>
          <w:p>
            <w:pPr>
              <w:spacing w:after="20" w:line="252"/>
            </w:pPr>
            <w:r>
              <w:rPr>
                <w:rFonts w:ascii="Calibri" w:cs="Calibri" w:eastAsia="Calibri" w:hAnsi="Calibri"/>
                <w:b/>
                <w:bCs/>
                <w:color w:val="FFFFFF"/>
                <w:sz w:val="19"/>
                <w:szCs w:val="19"/>
              </w:rPr>
              <w:t xml:space="preserve">Suposición (cualitativa)</w:t>
            </w:r>
          </w:p>
        </w:tc>
        <w:tc>
          <w:tcPr>
            <w:tcW w:type="dxa" w:w="3960"/>
            <w:shd w:fill="2E5496" w:val="clear"/>
            <w:tcMar>
              <w:top w:type="dxa" w:w="60"/>
              <w:left w:type="dxa" w:w="100"/>
              <w:bottom w:type="dxa" w:w="60"/>
              <w:right w:type="dxa" w:w="100"/>
            </w:tcMar>
            <w:vAlign w:val="top"/>
          </w:tcPr>
          <w:p>
            <w:pPr>
              <w:spacing w:after="20" w:line="252"/>
            </w:pPr>
            <w:r>
              <w:rPr>
                <w:rFonts w:ascii="Calibri" w:cs="Calibri" w:eastAsia="Calibri" w:hAnsi="Calibri"/>
                <w:b/>
                <w:bCs/>
                <w:color w:val="FFFFFF"/>
                <w:sz w:val="19"/>
                <w:szCs w:val="19"/>
              </w:rPr>
              <w:t xml:space="preserve">Hipótesis comprobable (cuantitativa)</w:t>
            </w:r>
          </w:p>
        </w:tc>
      </w:tr>
      <w:tr>
        <w:trPr>
          <w:tblHeader w:val="false"/>
        </w:trPr>
        <w:tc>
          <w:tcPr>
            <w:tcW w:type="dxa" w:w="15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El cliente es…</w:t>
            </w:r>
          </w:p>
        </w:tc>
        <w:tc>
          <w:tcPr>
            <w:tcW w:type="dxa" w:w="39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Una entidad pública o privada que canaliza recursos hacia la inversión territorial municipal, responsable o interesada en colocar capital, cofinanciación, crédito o transferencias contra estructuración aprobada, que está explorando o ampliando su llegada al segmento municipal, y cuya decisión de avanzar con un municipio se delibera en espacios colegiados internos.</w:t>
            </w:r>
          </w:p>
        </w:tc>
        <w:tc>
          <w:tcPr>
            <w:tcW w:type="dxa" w:w="396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Al menos 7 de cada 10 ejecutivos entrevistados confirmarán que su entidad está explorando o ampliando su llegada al segmento de municipios en los últimos 24 meses, describirán al menos una iniciativa concreta orientada a ese segmento, y confirmarán que la decisión pasa por al menos un espacio colegiado interno.</w:t>
            </w:r>
          </w:p>
        </w:tc>
      </w:tr>
      <w:tr>
        <w:trPr>
          <w:tblHeader w:val="false"/>
        </w:trPr>
        <w:tc>
          <w:tcPr>
            <w:tcW w:type="dxa" w:w="15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El problema que tiene…</w:t>
            </w:r>
          </w:p>
        </w:tc>
        <w:tc>
          <w:tcPr>
            <w:tcW w:type="dxa" w:w="39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No cuenta con una vía estructurada, oportuna y costo-eficiente para evaluar la capacidad real de ejecución de un municipio antes de comprometer recursos, ni para identificar pipelines de proyectos financiables.</w:t>
            </w:r>
          </w:p>
        </w:tc>
        <w:tc>
          <w:tcPr>
            <w:tcW w:type="dxa" w:w="396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Al menos 6 de cada 10 reportarán haber enfrentado en los últimos 12 meses una de tres situaciones: recursos no colocados por insuficiencia de proyectos viables, cartera con dificultades de ejecución no anticipadas, o costo elevado de acompañamiento técnico.</w:t>
            </w:r>
          </w:p>
        </w:tc>
      </w:tr>
      <w:tr>
        <w:trPr>
          <w:tblHeader w:val="false"/>
        </w:trPr>
        <w:tc>
          <w:tcPr>
            <w:tcW w:type="dxa" w:w="15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Sabemos que es un problema porque…</w:t>
            </w:r>
          </w:p>
        </w:tc>
        <w:tc>
          <w:tcPr>
            <w:tcW w:type="dxa" w:w="39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Hay evidencia documentable: el IDF y el MDM del DNP muestran riesgo fiscal en la mayoría de municipios cat. 3 a 6; los reportes de bancas de soporte registran sobrantes y procesos desiertos; el sector conoce el patrón pero lo gestiona caso por caso.</w:t>
            </w:r>
          </w:p>
        </w:tc>
        <w:tc>
          <w:tcPr>
            <w:tcW w:type="dxa" w:w="396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Al menos 8 de cada 10 podrán nombrar un caso concreto y reciente en su entidad —un proyecto o una convocatoria identificable— donde la mala estructuración inicial fue causa directa de demora, devolución, sobrecosto o incumplimiento de meta de colocación.</w:t>
            </w:r>
          </w:p>
        </w:tc>
      </w:tr>
      <w:tr>
        <w:trPr>
          <w:tblHeader w:val="false"/>
        </w:trPr>
        <w:tc>
          <w:tcPr>
            <w:tcW w:type="dxa" w:w="15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El impacto es…</w:t>
            </w:r>
          </w:p>
        </w:tc>
        <w:tc>
          <w:tcPr>
            <w:tcW w:type="dxa" w:w="39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Afecta simultáneamente el plano operativo-financiero (colocación, ejecución, cartera, costo de acompañamiento), el institucional-reputacional (reportes, control fiscal, exposición) y el estratégico (erosiona la apuesta de expansión al segmento territorial).</w:t>
            </w:r>
          </w:p>
        </w:tc>
        <w:tc>
          <w:tcPr>
            <w:tcW w:type="dxa" w:w="396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Al menos 6 de cada 10 identificarán simultáneamente al menos dos de tres consecuencias (sub-colocación, sobrecosto de acompañamiento, deterioro de cartera) ocurridas en el último año, y describirán al menos una manifestación institucional concreta.</w:t>
            </w:r>
          </w:p>
        </w:tc>
      </w:tr>
      <w:tr>
        <w:trPr>
          <w:tblHeader w:val="false"/>
        </w:trPr>
        <w:tc>
          <w:tcPr>
            <w:tcW w:type="dxa" w:w="15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No puede resolverlo hoy porque…</w:t>
            </w:r>
          </w:p>
        </w:tc>
        <w:tc>
          <w:tcPr>
            <w:tcW w:type="dxa" w:w="39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Las herramientas son fragmentadas, caras a escala y poco resolutivas: dependen de acompañamiento uno a uno (modelo tradicional tipo IDEA), tienen baja trazabilidad de la capacidad municipal y no existe un instrumento común y verificable entre entidades.</w:t>
            </w:r>
          </w:p>
        </w:tc>
        <w:tc>
          <w:tcPr>
            <w:tcW w:type="dxa" w:w="396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Más del 60 % manifestará insatisfacción explícita con el costo, el tiempo o la escalabilidad de la bancarización técnica actual, y reconocerá que no cuenta con un instrumento estandarizado, granular y longitudinal por encima de los rankings públicos agregados.</w:t>
            </w:r>
          </w:p>
        </w:tc>
      </w:tr>
      <w:tr>
        <w:trPr>
          <w:tblHeader w:val="false"/>
        </w:trPr>
        <w:tc>
          <w:tcPr>
            <w:tcW w:type="dxa" w:w="15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Otras personas involucradas…</w:t>
            </w:r>
          </w:p>
        </w:tc>
        <w:tc>
          <w:tcPr>
            <w:tcW w:type="dxa" w:w="39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La cadena es larga: alcalde, secretario de hacienda y concejo (municipio); comité de crédito o junta, área de riesgo y de acompañamiento (financiador); gobernación o ministerio y órganos de control (entorno). Cada actor observa el problema desde una métrica distinta.</w:t>
            </w:r>
          </w:p>
        </w:tc>
        <w:tc>
          <w:tcPr>
            <w:tcW w:type="dxa" w:w="396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Identificarán al menos cuatro actores adicionales involucrados en la decisión de colocar recursos, y al menos dos de ellos se citarán como mencionados en más del 70 % de las entrevistas.</w:t>
            </w:r>
          </w:p>
        </w:tc>
      </w:tr>
    </w:tbl>
    <w:p>
      <w:r>
        <w:br w:type="page"/>
      </w:r>
    </w:p>
    <w:p>
      <w:pPr>
        <w:pStyle w:val="Heading1"/>
        <w:spacing w:after="150" w:before="300"/>
      </w:pPr>
      <w:r>
        <w:rPr>
          <w:rFonts w:ascii="Calibri" w:cs="Calibri" w:eastAsia="Calibri" w:hAnsi="Calibri"/>
          <w:b/>
          <w:bCs/>
          <w:color w:val="1F3864"/>
        </w:rPr>
        <w:t xml:space="preserve">5. Matriz de descubrimiento — Segmento B · Municipio</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3900"/>
        <w:gridCol w:w="3960"/>
      </w:tblGrid>
      <w:tr>
        <w:trPr>
          <w:tblHeader/>
        </w:trPr>
        <w:tc>
          <w:tcPr>
            <w:tcW w:type="dxa" w:w="1500"/>
            <w:shd w:fill="2E5496" w:val="clear"/>
            <w:tcMar>
              <w:top w:type="dxa" w:w="60"/>
              <w:left w:type="dxa" w:w="100"/>
              <w:bottom w:type="dxa" w:w="60"/>
              <w:right w:type="dxa" w:w="100"/>
            </w:tcMar>
            <w:vAlign w:val="top"/>
          </w:tcPr>
          <w:p>
            <w:pPr>
              <w:spacing w:after="20" w:line="252"/>
            </w:pPr>
            <w:r>
              <w:rPr>
                <w:rFonts w:ascii="Calibri" w:cs="Calibri" w:eastAsia="Calibri" w:hAnsi="Calibri"/>
                <w:b/>
                <w:bCs/>
                <w:color w:val="FFFFFF"/>
                <w:sz w:val="19"/>
                <w:szCs w:val="19"/>
              </w:rPr>
              <w:t xml:space="preserve">Premisa</w:t>
            </w:r>
          </w:p>
        </w:tc>
        <w:tc>
          <w:tcPr>
            <w:tcW w:type="dxa" w:w="3900"/>
            <w:shd w:fill="2E5496" w:val="clear"/>
            <w:tcMar>
              <w:top w:type="dxa" w:w="60"/>
              <w:left w:type="dxa" w:w="100"/>
              <w:bottom w:type="dxa" w:w="60"/>
              <w:right w:type="dxa" w:w="100"/>
            </w:tcMar>
            <w:vAlign w:val="top"/>
          </w:tcPr>
          <w:p>
            <w:pPr>
              <w:spacing w:after="20" w:line="252"/>
            </w:pPr>
            <w:r>
              <w:rPr>
                <w:rFonts w:ascii="Calibri" w:cs="Calibri" w:eastAsia="Calibri" w:hAnsi="Calibri"/>
                <w:b/>
                <w:bCs/>
                <w:color w:val="FFFFFF"/>
                <w:sz w:val="19"/>
                <w:szCs w:val="19"/>
              </w:rPr>
              <w:t xml:space="preserve">Suposición (cualitativa)</w:t>
            </w:r>
          </w:p>
        </w:tc>
        <w:tc>
          <w:tcPr>
            <w:tcW w:type="dxa" w:w="3960"/>
            <w:shd w:fill="2E5496" w:val="clear"/>
            <w:tcMar>
              <w:top w:type="dxa" w:w="60"/>
              <w:left w:type="dxa" w:w="100"/>
              <w:bottom w:type="dxa" w:w="60"/>
              <w:right w:type="dxa" w:w="100"/>
            </w:tcMar>
            <w:vAlign w:val="top"/>
          </w:tcPr>
          <w:p>
            <w:pPr>
              <w:spacing w:after="20" w:line="252"/>
            </w:pPr>
            <w:r>
              <w:rPr>
                <w:rFonts w:ascii="Calibri" w:cs="Calibri" w:eastAsia="Calibri" w:hAnsi="Calibri"/>
                <w:b/>
                <w:bCs/>
                <w:color w:val="FFFFFF"/>
                <w:sz w:val="19"/>
                <w:szCs w:val="19"/>
              </w:rPr>
              <w:t xml:space="preserve">Hipótesis comprobable (cuantitativa)</w:t>
            </w:r>
          </w:p>
        </w:tc>
      </w:tr>
      <w:tr>
        <w:trPr>
          <w:tblHeader w:val="false"/>
        </w:trPr>
        <w:tc>
          <w:tcPr>
            <w:tcW w:type="dxa" w:w="15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El cliente es…</w:t>
            </w:r>
          </w:p>
        </w:tc>
        <w:tc>
          <w:tcPr>
            <w:tcW w:type="dxa" w:w="39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Un municipio cat. 3, 4 o 5 (clase media municipal) donde el secretario de planeación coordina la estructuración de proyectos, opera con equipo técnico reducido (uno a tres), enfrenta rotación entre periodos de gobierno, tiene autonomía limitada sobre el presupuesto técnico y depende de consultoría externa para los proyectos de mayor cuantía.</w:t>
            </w:r>
          </w:p>
        </w:tc>
        <w:tc>
          <w:tcPr>
            <w:tcW w:type="dxa" w:w="396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Al menos 7 de cada 10 secretarios de planeación reportarán unidad con tres profesionales o menos, rotación superior al 20 % entre los dos últimos periodos, y que en el último año recurrieron a consultoría externa para al menos uno de cada tres proyectos presentados.</w:t>
            </w:r>
          </w:p>
        </w:tc>
      </w:tr>
      <w:tr>
        <w:trPr>
          <w:tblHeader w:val="false"/>
        </w:trPr>
        <w:tc>
          <w:tcPr>
            <w:tcW w:type="dxa" w:w="15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El problema que tiene…</w:t>
            </w:r>
          </w:p>
        </w:tc>
        <w:tc>
          <w:tcPr>
            <w:tcW w:type="dxa" w:w="39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El equipo no logra estructurar proyectos MGA con la calidad y velocidad necesarias para sostener una tasa razonable de aprobación, lo que se traduce en proyectos devueltos, oportunidades perdidas, costos hundidos en consultoría y pérdida de continuidad técnica.</w:t>
            </w:r>
          </w:p>
        </w:tc>
        <w:tc>
          <w:tcPr>
            <w:tcW w:type="dxa" w:w="396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Más del 60 % reportará que la tasa histórica de aprobación de sus proyectos en convocatorias departamentales o nacionales en los últimos 24 meses fue inferior al 50 %, y describirá al menos un proyecto rechazado o devuelto por razones de estructuración.</w:t>
            </w:r>
          </w:p>
        </w:tc>
      </w:tr>
      <w:tr>
        <w:trPr>
          <w:tblHeader w:val="false"/>
        </w:trPr>
        <w:tc>
          <w:tcPr>
            <w:tcW w:type="dxa" w:w="15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Sabemos que es un problema porque…</w:t>
            </w:r>
          </w:p>
        </w:tc>
        <w:tc>
          <w:tcPr>
            <w:tcW w:type="dxa" w:w="39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Documentado por fuera del municipio en los índices del DNP, en los reportes de bancas de soporte (sobrantes, procesos desiertos), en la persistencia del mercado de consultoría privada y en la práctica recurrente de contratar consultores proyecto por proyecto.</w:t>
            </w:r>
          </w:p>
        </w:tc>
        <w:tc>
          <w:tcPr>
            <w:tcW w:type="dxa" w:w="396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Al menos 8 de cada 10 podrán nombrar un proyecto concreto y reciente rechazado, devuelto o no aprobado por razones de estructuración, y al menos 6 de cada 10 podrán reportar el rango de costo de la última consultoría de formulación contratada.</w:t>
            </w:r>
          </w:p>
        </w:tc>
      </w:tr>
      <w:tr>
        <w:trPr>
          <w:tblHeader w:val="false"/>
        </w:trPr>
        <w:tc>
          <w:tcPr>
            <w:tcW w:type="dxa" w:w="15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El impacto es…</w:t>
            </w:r>
          </w:p>
        </w:tc>
        <w:tc>
          <w:tcPr>
            <w:tcW w:type="dxa" w:w="39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Opera en tres dimensiones: financiera (consultoría sin garantía de aprobación drena un presupuesto limitado), operativa (proyectos rechazados retrasan obras estratégicas) y política (alcalde y secretario pagan costo político ante comunidad y concejo).</w:t>
            </w:r>
          </w:p>
        </w:tc>
        <w:tc>
          <w:tcPr>
            <w:tcW w:type="dxa" w:w="396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Al menos 6 de cada 10 identificarán simultáneamente al menos dos de tres consecuencias (pérdida de recursos en consultoría no exitosa, retraso de obras, costo político) ocurridas en su administración actual, con al menos un caso reciente.</w:t>
            </w:r>
          </w:p>
        </w:tc>
      </w:tr>
      <w:tr>
        <w:trPr>
          <w:tblHeader w:val="false"/>
        </w:trPr>
        <w:tc>
          <w:tcPr>
            <w:tcW w:type="dxa" w:w="15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No puede resolverlo hoy porque…</w:t>
            </w:r>
          </w:p>
        </w:tc>
        <w:tc>
          <w:tcPr>
            <w:tcW w:type="dxa" w:w="390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Las herramientas son fragmentadas: MGA Web es transaccional pero no asistencial; los aplicativos de cada entidad varían; no hay memoria institucional entre administraciones; las capacitaciones no son sostenidas; y la consultoría privada es cara y no transfiere capacidad.</w:t>
            </w:r>
          </w:p>
        </w:tc>
        <w:tc>
          <w:tcPr>
            <w:tcW w:type="dxa" w:w="3960"/>
            <w:shd w:fill="F2F2F2"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Más del 70 % manifestará insatisfacción explícita con al menos dos de cuatro mecanismos: (i) usabilidad y soporte de MGA Web, (ii) consistencia de los aplicativos de las convocantes, (iii) costo-efectividad de la consultoría externa, o (iv) continuidad de las capacitaciones.</w:t>
            </w:r>
          </w:p>
        </w:tc>
      </w:tr>
      <w:tr>
        <w:trPr>
          <w:tblHeader w:val="false"/>
        </w:trPr>
        <w:tc>
          <w:tcPr>
            <w:tcW w:type="dxa" w:w="15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Otras personas involucradas…</w:t>
            </w:r>
          </w:p>
        </w:tc>
        <w:tc>
          <w:tcPr>
            <w:tcW w:type="dxa" w:w="390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Cadena interna (alcalde, secretario de hacienda, concejo); entorno técnico (consultores, operadores); entidades convocantes (evaluadores, comités); supervisor (gobernación, ministerios, órganos de control); comunidad (líderes, juntas de acción comunal).</w:t>
            </w:r>
          </w:p>
        </w:tc>
        <w:tc>
          <w:tcPr>
            <w:tcW w:type="dxa" w:w="3960"/>
            <w:shd w:fill="FFFFFF" w:val="clear"/>
            <w:tcMar>
              <w:top w:type="dxa" w:w="60"/>
              <w:left w:type="dxa" w:w="100"/>
              <w:bottom w:type="dxa" w:w="60"/>
              <w:right w:type="dxa" w:w="100"/>
            </w:tcMar>
            <w:vAlign w:val="top"/>
          </w:tcPr>
          <w:p>
            <w:pPr>
              <w:spacing w:after="20" w:line="252"/>
            </w:pPr>
            <w:r>
              <w:rPr>
                <w:rFonts w:ascii="Calibri" w:cs="Calibri" w:eastAsia="Calibri" w:hAnsi="Calibri"/>
                <w:b w:val="false"/>
                <w:bCs w:val="false"/>
                <w:color w:val="000000"/>
                <w:sz w:val="18"/>
                <w:szCs w:val="18"/>
              </w:rPr>
              <w:t xml:space="preserve">Identificarán al menos cuatro actores adicionales involucrados en la decisión y ejecución de un proyecto de inversión municipal, y al menos dos —típicamente el alcalde y el secretario de hacienda— se citarán en más del 80 % de las entrevistas.</w:t>
            </w:r>
          </w:p>
        </w:tc>
      </w:tr>
    </w:tbl>
    <w:p>
      <w:r>
        <w:br w:type="page"/>
      </w:r>
    </w:p>
    <w:p>
      <w:pPr>
        <w:pStyle w:val="Heading1"/>
        <w:spacing w:after="150" w:before="300"/>
      </w:pPr>
      <w:r>
        <w:rPr>
          <w:rFonts w:ascii="Calibri" w:cs="Calibri" w:eastAsia="Calibri" w:hAnsi="Calibri"/>
          <w:b/>
          <w:bCs/>
          <w:color w:val="1F3864"/>
        </w:rPr>
        <w:t xml:space="preserve">6. Guía de preguntas de validación comercial</w:t>
      </w:r>
    </w:p>
    <w:p>
      <w:pPr>
        <w:spacing w:after="120" w:line="276"/>
        <w:jc w:val="both"/>
      </w:pPr>
      <w:r>
        <w:rPr>
          <w:rFonts w:ascii="Calibri" w:cs="Calibri" w:eastAsia="Calibri" w:hAnsi="Calibri"/>
          <w:sz w:val="22"/>
          <w:szCs w:val="22"/>
        </w:rPr>
        <w:t xml:space="preserve">La guía traduce las hipótesis en preguntas claras, neutrales, abiertas y conversacionales, organizadas en seis ejes. La guía núcleo tiene 15 preguntas; las dos guías por segmento ajustan lenguaje y énfasis sin cambiar la estructura. La pregunta 15 (varita mágica) va siempre al final, sin preámbulo.</w:t>
      </w:r>
    </w:p>
    <w:p>
      <w:pPr>
        <w:pStyle w:val="Heading2"/>
        <w:spacing w:after="110" w:before="240"/>
      </w:pPr>
      <w:r>
        <w:rPr>
          <w:rFonts w:ascii="Calibri" w:cs="Calibri" w:eastAsia="Calibri" w:hAnsi="Calibri"/>
          <w:b/>
          <w:bCs/>
          <w:color w:val="2E5496"/>
        </w:rPr>
        <w:t xml:space="preserve">Los seis ejes de validación</w:t>
      </w:r>
    </w:p>
    <w:p>
      <w:pPr>
        <w:pStyle w:val="ListParagraph"/>
        <w:numPr>
          <w:ilvl w:val="0"/>
          <w:numId w:val="1"/>
        </w:numPr>
        <w:spacing w:after="70" w:line="272"/>
        <w:jc w:val="both"/>
      </w:pPr>
      <w:r>
        <w:rPr>
          <w:rFonts w:ascii="Calibri" w:cs="Calibri" w:eastAsia="Calibri" w:hAnsi="Calibri"/>
          <w:b/>
          <w:bCs/>
          <w:sz w:val="22"/>
          <w:szCs w:val="22"/>
        </w:rPr>
        <w:t xml:space="preserve">Eje 1 · Realidad del problema. </w:t>
      </w:r>
      <w:r>
        <w:rPr>
          <w:rFonts w:ascii="Calibri" w:cs="Calibri" w:eastAsia="Calibri" w:hAnsi="Calibri"/>
          <w:sz w:val="22"/>
          <w:szCs w:val="22"/>
        </w:rPr>
        <w:t xml:space="preserve">Existencia, frecuencia y materialidad del dolor.</w:t>
      </w:r>
    </w:p>
    <w:p>
      <w:pPr>
        <w:pStyle w:val="ListParagraph"/>
        <w:numPr>
          <w:ilvl w:val="0"/>
          <w:numId w:val="1"/>
        </w:numPr>
        <w:spacing w:after="70" w:line="272"/>
        <w:jc w:val="both"/>
      </w:pPr>
      <w:r>
        <w:rPr>
          <w:rFonts w:ascii="Calibri" w:cs="Calibri" w:eastAsia="Calibri" w:hAnsi="Calibri"/>
          <w:b/>
          <w:bCs/>
          <w:sz w:val="22"/>
          <w:szCs w:val="22"/>
        </w:rPr>
        <w:t xml:space="preserve">Eje 2 · Mecanismos actuales. </w:t>
      </w:r>
      <w:r>
        <w:rPr>
          <w:rFonts w:ascii="Calibri" w:cs="Calibri" w:eastAsia="Calibri" w:hAnsi="Calibri"/>
          <w:sz w:val="22"/>
          <w:szCs w:val="22"/>
        </w:rPr>
        <w:t xml:space="preserve">Cómo lo resuelve hoy y qué tan satisfecho está.</w:t>
      </w:r>
    </w:p>
    <w:p>
      <w:pPr>
        <w:pStyle w:val="ListParagraph"/>
        <w:numPr>
          <w:ilvl w:val="0"/>
          <w:numId w:val="1"/>
        </w:numPr>
        <w:spacing w:after="70" w:line="272"/>
        <w:jc w:val="both"/>
      </w:pPr>
      <w:r>
        <w:rPr>
          <w:rFonts w:ascii="Calibri" w:cs="Calibri" w:eastAsia="Calibri" w:hAnsi="Calibri"/>
          <w:b/>
          <w:bCs/>
          <w:sz w:val="22"/>
          <w:szCs w:val="22"/>
        </w:rPr>
        <w:t xml:space="preserve">Eje 3 · Impacto y consecuencias. </w:t>
      </w:r>
      <w:r>
        <w:rPr>
          <w:rFonts w:ascii="Calibri" w:cs="Calibri" w:eastAsia="Calibri" w:hAnsi="Calibri"/>
          <w:sz w:val="22"/>
          <w:szCs w:val="22"/>
        </w:rPr>
        <w:t xml:space="preserve">Métricas afectadas, costos, presión institucional.</w:t>
      </w:r>
    </w:p>
    <w:p>
      <w:pPr>
        <w:pStyle w:val="ListParagraph"/>
        <w:numPr>
          <w:ilvl w:val="0"/>
          <w:numId w:val="1"/>
        </w:numPr>
        <w:spacing w:after="70" w:line="272"/>
        <w:jc w:val="both"/>
      </w:pPr>
      <w:r>
        <w:rPr>
          <w:rFonts w:ascii="Calibri" w:cs="Calibri" w:eastAsia="Calibri" w:hAnsi="Calibri"/>
          <w:b/>
          <w:bCs/>
          <w:sz w:val="22"/>
          <w:szCs w:val="22"/>
        </w:rPr>
        <w:t xml:space="preserve">Eje 4 · Factores de decisión. </w:t>
      </w:r>
      <w:r>
        <w:rPr>
          <w:rFonts w:ascii="Calibri" w:cs="Calibri" w:eastAsia="Calibri" w:hAnsi="Calibri"/>
          <w:sz w:val="22"/>
          <w:szCs w:val="22"/>
        </w:rPr>
        <w:t xml:space="preserve">Quién decide, qué mueve la decisión, qué presupuesto.</w:t>
      </w:r>
    </w:p>
    <w:p>
      <w:pPr>
        <w:pStyle w:val="ListParagraph"/>
        <w:numPr>
          <w:ilvl w:val="0"/>
          <w:numId w:val="1"/>
        </w:numPr>
        <w:spacing w:after="70" w:line="272"/>
        <w:jc w:val="both"/>
      </w:pPr>
      <w:r>
        <w:rPr>
          <w:rFonts w:ascii="Calibri" w:cs="Calibri" w:eastAsia="Calibri" w:hAnsi="Calibri"/>
          <w:b/>
          <w:bCs/>
          <w:sz w:val="22"/>
          <w:szCs w:val="22"/>
        </w:rPr>
        <w:t xml:space="preserve">Eje 5 · Barreras y riesgos. </w:t>
      </w:r>
      <w:r>
        <w:rPr>
          <w:rFonts w:ascii="Calibri" w:cs="Calibri" w:eastAsia="Calibri" w:hAnsi="Calibri"/>
          <w:sz w:val="22"/>
          <w:szCs w:val="22"/>
        </w:rPr>
        <w:t xml:space="preserve">Qué haría fracasar la adopción; el eje del saboteador.</w:t>
      </w:r>
    </w:p>
    <w:p>
      <w:pPr>
        <w:pStyle w:val="ListParagraph"/>
        <w:numPr>
          <w:ilvl w:val="0"/>
          <w:numId w:val="1"/>
        </w:numPr>
        <w:spacing w:after="70" w:line="272"/>
        <w:jc w:val="both"/>
      </w:pPr>
      <w:r>
        <w:rPr>
          <w:rFonts w:ascii="Calibri" w:cs="Calibri" w:eastAsia="Calibri" w:hAnsi="Calibri"/>
          <w:b/>
          <w:bCs/>
          <w:sz w:val="22"/>
          <w:szCs w:val="22"/>
        </w:rPr>
        <w:t xml:space="preserve">Eje 6 · Sostenibilidad y continuidad. </w:t>
      </w:r>
      <w:r>
        <w:rPr>
          <w:rFonts w:ascii="Calibri" w:cs="Calibri" w:eastAsia="Calibri" w:hAnsi="Calibri"/>
          <w:sz w:val="22"/>
          <w:szCs w:val="22"/>
        </w:rPr>
        <w:t xml:space="preserve">Qué hace que la relación sobreviva a un cambio de gobierno.</w:t>
      </w:r>
    </w:p>
    <w:p>
      <w:pPr>
        <w:pStyle w:val="Heading2"/>
        <w:spacing w:after="110" w:before="240"/>
      </w:pPr>
      <w:r>
        <w:rPr>
          <w:rFonts w:ascii="Calibri" w:cs="Calibri" w:eastAsia="Calibri" w:hAnsi="Calibri"/>
          <w:b/>
          <w:bCs/>
          <w:color w:val="2E5496"/>
        </w:rPr>
        <w:t xml:space="preserve">Guía núcleo — 15 preguntas</w:t>
      </w:r>
    </w:p>
    <w:p>
      <w:pPr>
        <w:pStyle w:val="Heading3"/>
        <w:spacing w:after="90" w:before="180"/>
      </w:pPr>
      <w:r>
        <w:rPr>
          <w:rFonts w:ascii="Calibri" w:cs="Calibri" w:eastAsia="Calibri" w:hAnsi="Calibri"/>
          <w:b/>
          <w:bCs/>
          <w:i/>
          <w:iCs/>
          <w:color w:val="2E5496"/>
        </w:rPr>
        <w:t xml:space="preserve">Eje 1 · Realidad del problema</w:t>
      </w:r>
    </w:p>
    <w:p>
      <w:pPr>
        <w:spacing w:after="90" w:line="270"/>
        <w:jc w:val="both"/>
      </w:pPr>
      <w:r>
        <w:rPr>
          <w:rFonts w:ascii="Calibri" w:cs="Calibri" w:eastAsia="Calibri" w:hAnsi="Calibri"/>
          <w:b/>
          <w:bCs/>
          <w:color w:val="1F3864"/>
          <w:sz w:val="22"/>
          <w:szCs w:val="22"/>
        </w:rPr>
        <w:t xml:space="preserve">P1. </w:t>
      </w:r>
      <w:r>
        <w:rPr>
          <w:rFonts w:ascii="Calibri" w:cs="Calibri" w:eastAsia="Calibri" w:hAnsi="Calibri"/>
          <w:sz w:val="22"/>
          <w:szCs w:val="22"/>
        </w:rPr>
        <w:t xml:space="preserve">Contame del último proyecto que pasó por tus manos donde la calidad de la estructuración técnica haya sido determinante en cómo terminó. ¿Qué pasó y cómo terminó?</w:t>
      </w:r>
    </w:p>
    <w:p>
      <w:pPr>
        <w:spacing w:after="90" w:line="270"/>
        <w:jc w:val="both"/>
      </w:pPr>
      <w:r>
        <w:rPr>
          <w:rFonts w:ascii="Calibri" w:cs="Calibri" w:eastAsia="Calibri" w:hAnsi="Calibri"/>
          <w:b/>
          <w:bCs/>
          <w:color w:val="1F3864"/>
          <w:sz w:val="22"/>
          <w:szCs w:val="22"/>
        </w:rPr>
        <w:t xml:space="preserve">P2. </w:t>
      </w:r>
      <w:r>
        <w:rPr>
          <w:rFonts w:ascii="Calibri" w:cs="Calibri" w:eastAsia="Calibri" w:hAnsi="Calibri"/>
          <w:sz w:val="22"/>
          <w:szCs w:val="22"/>
        </w:rPr>
        <w:t xml:space="preserve">En los últimos dos años, ¿podés identificar un caso en el que la información sobre la capacidad institucional del cliente (o tu propia capacidad técnica) no fue suficiente para tomar la mejor decisión? ¿Qué hiciste?</w:t>
      </w:r>
    </w:p>
    <w:p>
      <w:pPr>
        <w:spacing w:after="90" w:line="270"/>
        <w:jc w:val="both"/>
      </w:pPr>
      <w:r>
        <w:rPr>
          <w:rFonts w:ascii="Calibri" w:cs="Calibri" w:eastAsia="Calibri" w:hAnsi="Calibri"/>
          <w:b/>
          <w:bCs/>
          <w:color w:val="1F3864"/>
          <w:sz w:val="22"/>
          <w:szCs w:val="22"/>
        </w:rPr>
        <w:t xml:space="preserve">P3. </w:t>
      </w:r>
      <w:r>
        <w:rPr>
          <w:rFonts w:ascii="Calibri" w:cs="Calibri" w:eastAsia="Calibri" w:hAnsi="Calibri"/>
          <w:sz w:val="22"/>
          <w:szCs w:val="22"/>
        </w:rPr>
        <w:t xml:space="preserve">Si tuvieras que ordenar los tres principales dolores de cabeza de tu cargo en el último año respecto a tu segmento de clientes, ¿cuáles serían y por qué?</w:t>
      </w:r>
    </w:p>
    <w:p>
      <w:pPr>
        <w:pStyle w:val="Heading3"/>
        <w:spacing w:after="90" w:before="180"/>
      </w:pPr>
      <w:r>
        <w:rPr>
          <w:rFonts w:ascii="Calibri" w:cs="Calibri" w:eastAsia="Calibri" w:hAnsi="Calibri"/>
          <w:b/>
          <w:bCs/>
          <w:i/>
          <w:iCs/>
          <w:color w:val="2E5496"/>
        </w:rPr>
        <w:t xml:space="preserve">Eje 2 · Mecanismos actuales</w:t>
      </w:r>
    </w:p>
    <w:p>
      <w:pPr>
        <w:spacing w:after="90" w:line="270"/>
        <w:jc w:val="both"/>
      </w:pPr>
      <w:r>
        <w:rPr>
          <w:rFonts w:ascii="Calibri" w:cs="Calibri" w:eastAsia="Calibri" w:hAnsi="Calibri"/>
          <w:b/>
          <w:bCs/>
          <w:color w:val="1F3864"/>
          <w:sz w:val="22"/>
          <w:szCs w:val="22"/>
        </w:rPr>
        <w:t xml:space="preserve">P4. </w:t>
      </w:r>
      <w:r>
        <w:rPr>
          <w:rFonts w:ascii="Calibri" w:cs="Calibri" w:eastAsia="Calibri" w:hAnsi="Calibri"/>
          <w:sz w:val="22"/>
          <w:szCs w:val="22"/>
        </w:rPr>
        <w:t xml:space="preserve">Hoy, cuando se te presenta una situación como la que describiste, ¿qué herramientas o procesos usás? Caminame el flujo de inicio a fin.</w:t>
      </w:r>
    </w:p>
    <w:p>
      <w:pPr>
        <w:spacing w:after="90" w:line="270"/>
        <w:jc w:val="both"/>
      </w:pPr>
      <w:r>
        <w:rPr>
          <w:rFonts w:ascii="Calibri" w:cs="Calibri" w:eastAsia="Calibri" w:hAnsi="Calibri"/>
          <w:b/>
          <w:bCs/>
          <w:color w:val="1F3864"/>
          <w:sz w:val="22"/>
          <w:szCs w:val="22"/>
        </w:rPr>
        <w:t xml:space="preserve">P5. </w:t>
      </w:r>
      <w:r>
        <w:rPr>
          <w:rFonts w:ascii="Calibri" w:cs="Calibri" w:eastAsia="Calibri" w:hAnsi="Calibri"/>
          <w:sz w:val="22"/>
          <w:szCs w:val="22"/>
        </w:rPr>
        <w:t xml:space="preserve">De esas herramientas o procesos, ¿qué te funciona bien, qué te genera fricción y qué directamente evitás usar aunque debieras?</w:t>
      </w:r>
    </w:p>
    <w:p>
      <w:pPr>
        <w:pStyle w:val="Heading3"/>
        <w:spacing w:after="90" w:before="180"/>
      </w:pPr>
      <w:r>
        <w:rPr>
          <w:rFonts w:ascii="Calibri" w:cs="Calibri" w:eastAsia="Calibri" w:hAnsi="Calibri"/>
          <w:b/>
          <w:bCs/>
          <w:i/>
          <w:iCs/>
          <w:color w:val="2E5496"/>
        </w:rPr>
        <w:t xml:space="preserve">Eje 3 · Impacto y consecuencias</w:t>
      </w:r>
    </w:p>
    <w:p>
      <w:pPr>
        <w:spacing w:after="90" w:line="270"/>
        <w:jc w:val="both"/>
      </w:pPr>
      <w:r>
        <w:rPr>
          <w:rFonts w:ascii="Calibri" w:cs="Calibri" w:eastAsia="Calibri" w:hAnsi="Calibri"/>
          <w:b/>
          <w:bCs/>
          <w:color w:val="1F3864"/>
          <w:sz w:val="22"/>
          <w:szCs w:val="22"/>
        </w:rPr>
        <w:t xml:space="preserve">P6. </w:t>
      </w:r>
      <w:r>
        <w:rPr>
          <w:rFonts w:ascii="Calibri" w:cs="Calibri" w:eastAsia="Calibri" w:hAnsi="Calibri"/>
          <w:sz w:val="22"/>
          <w:szCs w:val="22"/>
        </w:rPr>
        <w:t xml:space="preserve">Cuando estos casos no se resuelven bien, ¿qué se ve afectado en tu entidad? Pensá en indicadores, costos y relaciones internas o externas.</w:t>
      </w:r>
    </w:p>
    <w:p>
      <w:pPr>
        <w:spacing w:after="90" w:line="270"/>
        <w:jc w:val="both"/>
      </w:pPr>
      <w:r>
        <w:rPr>
          <w:rFonts w:ascii="Calibri" w:cs="Calibri" w:eastAsia="Calibri" w:hAnsi="Calibri"/>
          <w:b/>
          <w:bCs/>
          <w:color w:val="1F3864"/>
          <w:sz w:val="22"/>
          <w:szCs w:val="22"/>
        </w:rPr>
        <w:t xml:space="preserve">P7. </w:t>
      </w:r>
      <w:r>
        <w:rPr>
          <w:rFonts w:ascii="Calibri" w:cs="Calibri" w:eastAsia="Calibri" w:hAnsi="Calibri"/>
          <w:sz w:val="22"/>
          <w:szCs w:val="22"/>
        </w:rPr>
        <w:t xml:space="preserve">¿En el último año llegó este tipo de situación a una instancia formal —junta, comité, concejo, control interno— o se queda gestionándose en el día a día?</w:t>
      </w:r>
    </w:p>
    <w:p>
      <w:pPr>
        <w:pStyle w:val="Heading3"/>
        <w:spacing w:after="90" w:before="180"/>
      </w:pPr>
      <w:r>
        <w:rPr>
          <w:rFonts w:ascii="Calibri" w:cs="Calibri" w:eastAsia="Calibri" w:hAnsi="Calibri"/>
          <w:b/>
          <w:bCs/>
          <w:i/>
          <w:iCs/>
          <w:color w:val="2E5496"/>
        </w:rPr>
        <w:t xml:space="preserve">Eje 4 · Factores de decisión</w:t>
      </w:r>
    </w:p>
    <w:p>
      <w:pPr>
        <w:spacing w:after="90" w:line="270"/>
        <w:jc w:val="both"/>
      </w:pPr>
      <w:r>
        <w:rPr>
          <w:rFonts w:ascii="Calibri" w:cs="Calibri" w:eastAsia="Calibri" w:hAnsi="Calibri"/>
          <w:b/>
          <w:bCs/>
          <w:color w:val="1F3864"/>
          <w:sz w:val="22"/>
          <w:szCs w:val="22"/>
        </w:rPr>
        <w:t xml:space="preserve">P8. </w:t>
      </w:r>
      <w:r>
        <w:rPr>
          <w:rFonts w:ascii="Calibri" w:cs="Calibri" w:eastAsia="Calibri" w:hAnsi="Calibri"/>
          <w:sz w:val="22"/>
          <w:szCs w:val="22"/>
        </w:rPr>
        <w:t xml:space="preserve">Cuando tu organización decide adoptar una herramienta nueva o cambiar un proceso, ¿cómo se toma esa decisión? ¿Quiénes participan, en qué orden y en qué momentos?</w:t>
      </w:r>
    </w:p>
    <w:p>
      <w:pPr>
        <w:spacing w:after="90" w:line="270"/>
        <w:jc w:val="both"/>
      </w:pPr>
      <w:r>
        <w:rPr>
          <w:rFonts w:ascii="Calibri" w:cs="Calibri" w:eastAsia="Calibri" w:hAnsi="Calibri"/>
          <w:b/>
          <w:bCs/>
          <w:color w:val="1F3864"/>
          <w:sz w:val="22"/>
          <w:szCs w:val="22"/>
        </w:rPr>
        <w:t xml:space="preserve">P9. </w:t>
      </w:r>
      <w:r>
        <w:rPr>
          <w:rFonts w:ascii="Calibri" w:cs="Calibri" w:eastAsia="Calibri" w:hAnsi="Calibri"/>
          <w:sz w:val="22"/>
          <w:szCs w:val="22"/>
        </w:rPr>
        <w:t xml:space="preserve">¿Qué tendrías que ver, leer o escuchar para considerar seriamente probar algo distinto a lo que hacés hoy con este tipo de problema?</w:t>
      </w:r>
    </w:p>
    <w:p>
      <w:pPr>
        <w:spacing w:after="90" w:line="270"/>
        <w:jc w:val="both"/>
      </w:pPr>
      <w:r>
        <w:rPr>
          <w:rFonts w:ascii="Calibri" w:cs="Calibri" w:eastAsia="Calibri" w:hAnsi="Calibri"/>
          <w:b/>
          <w:bCs/>
          <w:color w:val="1F3864"/>
          <w:sz w:val="22"/>
          <w:szCs w:val="22"/>
        </w:rPr>
        <w:t xml:space="preserve">P10. </w:t>
      </w:r>
      <w:r>
        <w:rPr>
          <w:rFonts w:ascii="Calibri" w:cs="Calibri" w:eastAsia="Calibri" w:hAnsi="Calibri"/>
          <w:sz w:val="22"/>
          <w:szCs w:val="22"/>
        </w:rPr>
        <w:t xml:space="preserve">¿Bajo qué rubro presupuestal o convenio se pagaría una herramienta así? ¿Hay disponibilidad real este año o el próximo?</w:t>
      </w:r>
    </w:p>
    <w:p>
      <w:pPr>
        <w:pStyle w:val="Heading3"/>
        <w:spacing w:after="90" w:before="180"/>
      </w:pPr>
      <w:r>
        <w:rPr>
          <w:rFonts w:ascii="Calibri" w:cs="Calibri" w:eastAsia="Calibri" w:hAnsi="Calibri"/>
          <w:b/>
          <w:bCs/>
          <w:i/>
          <w:iCs/>
          <w:color w:val="2E5496"/>
        </w:rPr>
        <w:t xml:space="preserve">Eje 5 · Barreras y riesgos</w:t>
      </w:r>
    </w:p>
    <w:p>
      <w:pPr>
        <w:spacing w:after="90" w:line="270"/>
        <w:jc w:val="both"/>
      </w:pPr>
      <w:r>
        <w:rPr>
          <w:rFonts w:ascii="Calibri" w:cs="Calibri" w:eastAsia="Calibri" w:hAnsi="Calibri"/>
          <w:b/>
          <w:bCs/>
          <w:color w:val="1F3864"/>
          <w:sz w:val="22"/>
          <w:szCs w:val="22"/>
        </w:rPr>
        <w:t xml:space="preserve">P11. </w:t>
      </w:r>
      <w:r>
        <w:rPr>
          <w:rFonts w:ascii="Calibri" w:cs="Calibri" w:eastAsia="Calibri" w:hAnsi="Calibri"/>
          <w:sz w:val="22"/>
          <w:szCs w:val="22"/>
        </w:rPr>
        <w:t xml:space="preserve">Si imaginás que tu organización adopta algo nuevo para resolver este problema, ¿qué cosas internas o del entorno harían que ese intento fracase?</w:t>
      </w:r>
    </w:p>
    <w:p>
      <w:pPr>
        <w:spacing w:after="90" w:line="270"/>
        <w:jc w:val="both"/>
      </w:pPr>
      <w:r>
        <w:rPr>
          <w:rFonts w:ascii="Calibri" w:cs="Calibri" w:eastAsia="Calibri" w:hAnsi="Calibri"/>
          <w:b/>
          <w:bCs/>
          <w:color w:val="1F3864"/>
          <w:sz w:val="22"/>
          <w:szCs w:val="22"/>
        </w:rPr>
        <w:t xml:space="preserve">P12. </w:t>
      </w:r>
      <w:r>
        <w:rPr>
          <w:rFonts w:ascii="Calibri" w:cs="Calibri" w:eastAsia="Calibri" w:hAnsi="Calibri"/>
          <w:sz w:val="22"/>
          <w:szCs w:val="22"/>
        </w:rPr>
        <w:t xml:space="preserve">¿Quién o qué área dentro de tu organización sería la más resistente a una herramienta así, y por qué?</w:t>
      </w:r>
    </w:p>
    <w:p>
      <w:pPr>
        <w:pStyle w:val="Heading3"/>
        <w:spacing w:after="90" w:before="180"/>
      </w:pPr>
      <w:r>
        <w:rPr>
          <w:rFonts w:ascii="Calibri" w:cs="Calibri" w:eastAsia="Calibri" w:hAnsi="Calibri"/>
          <w:b/>
          <w:bCs/>
          <w:i/>
          <w:iCs/>
          <w:color w:val="2E5496"/>
        </w:rPr>
        <w:t xml:space="preserve">Eje 6 · Sostenibilidad y continuidad</w:t>
      </w:r>
    </w:p>
    <w:p>
      <w:pPr>
        <w:spacing w:after="90" w:line="270"/>
        <w:jc w:val="both"/>
      </w:pPr>
      <w:r>
        <w:rPr>
          <w:rFonts w:ascii="Calibri" w:cs="Calibri" w:eastAsia="Calibri" w:hAnsi="Calibri"/>
          <w:b/>
          <w:bCs/>
          <w:color w:val="1F3864"/>
          <w:sz w:val="22"/>
          <w:szCs w:val="22"/>
        </w:rPr>
        <w:t xml:space="preserve">P13. </w:t>
      </w:r>
      <w:r>
        <w:rPr>
          <w:rFonts w:ascii="Calibri" w:cs="Calibri" w:eastAsia="Calibri" w:hAnsi="Calibri"/>
          <w:sz w:val="22"/>
          <w:szCs w:val="22"/>
        </w:rPr>
        <w:t xml:space="preserve">¿Qué hace que una relación con un proveedor o una herramienta dure en tu organización más allá del primer año?</w:t>
      </w:r>
    </w:p>
    <w:p>
      <w:pPr>
        <w:spacing w:after="90" w:line="270"/>
        <w:jc w:val="both"/>
      </w:pPr>
      <w:r>
        <w:rPr>
          <w:rFonts w:ascii="Calibri" w:cs="Calibri" w:eastAsia="Calibri" w:hAnsi="Calibri"/>
          <w:b/>
          <w:bCs/>
          <w:color w:val="1F3864"/>
          <w:sz w:val="22"/>
          <w:szCs w:val="22"/>
        </w:rPr>
        <w:t xml:space="preserve">P14. </w:t>
      </w:r>
      <w:r>
        <w:rPr>
          <w:rFonts w:ascii="Calibri" w:cs="Calibri" w:eastAsia="Calibri" w:hAnsi="Calibri"/>
          <w:sz w:val="22"/>
          <w:szCs w:val="22"/>
        </w:rPr>
        <w:t xml:space="preserve">Si llegara una nueva administración o un nuevo equipo directivo el próximo año, ¿qué pasaría con las herramientas y procesos que vos implementaste? ¿Cuáles sobrevivirían y cuáles morirían?</w:t>
      </w:r>
    </w:p>
    <w:p>
      <w:pPr>
        <w:spacing w:after="90" w:line="270"/>
        <w:jc w:val="both"/>
      </w:pPr>
      <w:r>
        <w:rPr>
          <w:rFonts w:ascii="Calibri" w:cs="Calibri" w:eastAsia="Calibri" w:hAnsi="Calibri"/>
          <w:b/>
          <w:bCs/>
          <w:color w:val="1F3864"/>
          <w:sz w:val="22"/>
          <w:szCs w:val="22"/>
        </w:rPr>
        <w:t xml:space="preserve">P15. </w:t>
      </w:r>
      <w:r>
        <w:rPr>
          <w:rFonts w:ascii="Calibri" w:cs="Calibri" w:eastAsia="Calibri" w:hAnsi="Calibri"/>
          <w:sz w:val="22"/>
          <w:szCs w:val="22"/>
        </w:rPr>
        <w:t xml:space="preserve">Varita mágica: si pudieras resolver hoy un solo problema relacionado con lo que hemos conversado, sin restricciones de presupuesto, tiempo o tecnología, ¿cuál sería y por qué ese?</w:t>
      </w:r>
    </w:p>
    <w:p>
      <w:pPr>
        <w:pStyle w:val="Heading2"/>
        <w:spacing w:after="110" w:before="240"/>
      </w:pPr>
      <w:r>
        <w:rPr>
          <w:rFonts w:ascii="Calibri" w:cs="Calibri" w:eastAsia="Calibri" w:hAnsi="Calibri"/>
          <w:b/>
          <w:bCs/>
          <w:color w:val="2E5496"/>
        </w:rPr>
        <w:t xml:space="preserve">Guía A — Segmento Financiador territorial</w:t>
      </w:r>
    </w:p>
    <w:p>
      <w:pPr>
        <w:spacing w:after="120" w:line="276"/>
        <w:jc w:val="both"/>
      </w:pPr>
      <w:r>
        <w:rPr>
          <w:rFonts w:ascii="Calibri" w:cs="Calibri" w:eastAsia="Calibri" w:hAnsi="Calibri"/>
          <w:i/>
          <w:iCs/>
          <w:sz w:val="22"/>
          <w:szCs w:val="22"/>
        </w:rPr>
        <w:t xml:space="preserve">Perfiles: gerentes y profesionales de nivel medio en institutos de fomento, banca pública/privada con línea de gobierno, ministerios y agencias con cofinanciación, o banca multilateral. Evitar altos directivos en la primera ronda.</w:t>
      </w:r>
    </w:p>
    <w:p>
      <w:pPr>
        <w:spacing w:after="90" w:line="270"/>
        <w:jc w:val="both"/>
      </w:pPr>
      <w:r>
        <w:rPr>
          <w:rFonts w:ascii="Calibri" w:cs="Calibri" w:eastAsia="Calibri" w:hAnsi="Calibri"/>
          <w:b/>
          <w:bCs/>
          <w:color w:val="1F3864"/>
          <w:sz w:val="22"/>
          <w:szCs w:val="22"/>
        </w:rPr>
        <w:t xml:space="preserve">P1. </w:t>
      </w:r>
      <w:r>
        <w:rPr>
          <w:rFonts w:ascii="Calibri" w:cs="Calibri" w:eastAsia="Calibri" w:hAnsi="Calibri"/>
          <w:sz w:val="22"/>
          <w:szCs w:val="22"/>
        </w:rPr>
        <w:t xml:space="preserve">Contame del último caso que pasó por tu mesa donde la calidad de la estructuración técnica de un proyecto municipal fue determinante en cómo terminó la operación, la cofinanciación o la convocatoria.</w:t>
      </w:r>
    </w:p>
    <w:p>
      <w:pPr>
        <w:spacing w:after="90" w:line="270"/>
        <w:jc w:val="both"/>
      </w:pPr>
      <w:r>
        <w:rPr>
          <w:rFonts w:ascii="Calibri" w:cs="Calibri" w:eastAsia="Calibri" w:hAnsi="Calibri"/>
          <w:b/>
          <w:bCs/>
          <w:color w:val="1F3864"/>
          <w:sz w:val="22"/>
          <w:szCs w:val="22"/>
        </w:rPr>
        <w:t xml:space="preserve">P2. </w:t>
      </w:r>
      <w:r>
        <w:rPr>
          <w:rFonts w:ascii="Calibri" w:cs="Calibri" w:eastAsia="Calibri" w:hAnsi="Calibri"/>
          <w:sz w:val="22"/>
          <w:szCs w:val="22"/>
        </w:rPr>
        <w:t xml:space="preserve">En los últimos dos años, ¿un caso concreto en el que la información sobre la capacidad institucional del municipio no fue suficiente para decidir colocar, cofinanciar o transferir recursos?</w:t>
      </w:r>
    </w:p>
    <w:p>
      <w:pPr>
        <w:spacing w:after="90" w:line="270"/>
        <w:jc w:val="both"/>
      </w:pPr>
      <w:r>
        <w:rPr>
          <w:rFonts w:ascii="Calibri" w:cs="Calibri" w:eastAsia="Calibri" w:hAnsi="Calibri"/>
          <w:b/>
          <w:bCs/>
          <w:color w:val="1F3864"/>
          <w:sz w:val="22"/>
          <w:szCs w:val="22"/>
        </w:rPr>
        <w:t xml:space="preserve">P3. </w:t>
      </w:r>
      <w:r>
        <w:rPr>
          <w:rFonts w:ascii="Calibri" w:cs="Calibri" w:eastAsia="Calibri" w:hAnsi="Calibri"/>
          <w:sz w:val="22"/>
          <w:szCs w:val="22"/>
        </w:rPr>
        <w:t xml:space="preserve">¿Los tres principales dolores de cabeza de tu cargo este año respecto al segmento territorial (municipios, gobernaciones, entidades subnacionales)?</w:t>
      </w:r>
    </w:p>
    <w:p>
      <w:pPr>
        <w:spacing w:after="90" w:line="270"/>
        <w:jc w:val="both"/>
      </w:pPr>
      <w:r>
        <w:rPr>
          <w:rFonts w:ascii="Calibri" w:cs="Calibri" w:eastAsia="Calibri" w:hAnsi="Calibri"/>
          <w:b/>
          <w:bCs/>
          <w:color w:val="1F3864"/>
          <w:sz w:val="22"/>
          <w:szCs w:val="22"/>
        </w:rPr>
        <w:t xml:space="preserve">P4. </w:t>
      </w:r>
      <w:r>
        <w:rPr>
          <w:rFonts w:ascii="Calibri" w:cs="Calibri" w:eastAsia="Calibri" w:hAnsi="Calibri"/>
          <w:sz w:val="22"/>
          <w:szCs w:val="22"/>
        </w:rPr>
        <w:t xml:space="preserve">Cuando entrás a evaluar un municipio para colocar, cofinanciar o transferir, ¿qué herramientas, fuentes y procesos usás? Caminame el flujo.</w:t>
      </w:r>
    </w:p>
    <w:p>
      <w:pPr>
        <w:spacing w:after="90" w:line="270"/>
        <w:jc w:val="both"/>
      </w:pPr>
      <w:r>
        <w:rPr>
          <w:rFonts w:ascii="Calibri" w:cs="Calibri" w:eastAsia="Calibri" w:hAnsi="Calibri"/>
          <w:b/>
          <w:bCs/>
          <w:color w:val="1F3864"/>
          <w:sz w:val="22"/>
          <w:szCs w:val="22"/>
        </w:rPr>
        <w:t xml:space="preserve">P5. </w:t>
      </w:r>
      <w:r>
        <w:rPr>
          <w:rFonts w:ascii="Calibri" w:cs="Calibri" w:eastAsia="Calibri" w:hAnsi="Calibri"/>
          <w:sz w:val="22"/>
          <w:szCs w:val="22"/>
        </w:rPr>
        <w:t xml:space="preserve">De ese flujo, ¿qué te funciona, qué te genera fricción y qué información buscás pero no encontrás —o construís cada vez desde cero—?</w:t>
      </w:r>
    </w:p>
    <w:p>
      <w:pPr>
        <w:spacing w:after="90" w:line="270"/>
        <w:jc w:val="both"/>
      </w:pPr>
      <w:r>
        <w:rPr>
          <w:rFonts w:ascii="Calibri" w:cs="Calibri" w:eastAsia="Calibri" w:hAnsi="Calibri"/>
          <w:b/>
          <w:bCs/>
          <w:color w:val="1F3864"/>
          <w:sz w:val="22"/>
          <w:szCs w:val="22"/>
        </w:rPr>
        <w:t xml:space="preserve">P6. </w:t>
      </w:r>
      <w:r>
        <w:rPr>
          <w:rFonts w:ascii="Calibri" w:cs="Calibri" w:eastAsia="Calibri" w:hAnsi="Calibri"/>
          <w:sz w:val="22"/>
          <w:szCs w:val="22"/>
        </w:rPr>
        <w:t xml:space="preserve">Cuando una operación territorial no sale bien, ¿qué se ve afectado? (colocación o ejecución, cartera o devoluciones, costo de acompañamiento, reputación, la apuesta interna de tu área).</w:t>
      </w:r>
    </w:p>
    <w:p>
      <w:pPr>
        <w:spacing w:after="90" w:line="270"/>
        <w:jc w:val="both"/>
      </w:pPr>
      <w:r>
        <w:rPr>
          <w:rFonts w:ascii="Calibri" w:cs="Calibri" w:eastAsia="Calibri" w:hAnsi="Calibri"/>
          <w:b/>
          <w:bCs/>
          <w:color w:val="1F3864"/>
          <w:sz w:val="22"/>
          <w:szCs w:val="22"/>
        </w:rPr>
        <w:t xml:space="preserve">P7. </w:t>
      </w:r>
      <w:r>
        <w:rPr>
          <w:rFonts w:ascii="Calibri" w:cs="Calibri" w:eastAsia="Calibri" w:hAnsi="Calibri"/>
          <w:sz w:val="22"/>
          <w:szCs w:val="22"/>
        </w:rPr>
        <w:t xml:space="preserve">¿Esos casos han llegado en el último año a comité de riesgo, junta, control fiscal, prensa o instancia política, o se gestionan internamente?</w:t>
      </w:r>
    </w:p>
    <w:p>
      <w:pPr>
        <w:spacing w:after="90" w:line="270"/>
        <w:jc w:val="both"/>
      </w:pPr>
      <w:r>
        <w:rPr>
          <w:rFonts w:ascii="Calibri" w:cs="Calibri" w:eastAsia="Calibri" w:hAnsi="Calibri"/>
          <w:b/>
          <w:bCs/>
          <w:color w:val="1F3864"/>
          <w:sz w:val="22"/>
          <w:szCs w:val="22"/>
        </w:rPr>
        <w:t xml:space="preserve">P8. </w:t>
      </w:r>
      <w:r>
        <w:rPr>
          <w:rFonts w:ascii="Calibri" w:cs="Calibri" w:eastAsia="Calibri" w:hAnsi="Calibri"/>
          <w:sz w:val="22"/>
          <w:szCs w:val="22"/>
        </w:rPr>
        <w:t xml:space="preserve">Cuando tu entidad decide adoptar una herramienta nueva de información o evaluación territorial, ¿cómo es el proceso? ¿Quiénes deciden, en qué espacio colegiado?</w:t>
      </w:r>
    </w:p>
    <w:p>
      <w:pPr>
        <w:spacing w:after="90" w:line="270"/>
        <w:jc w:val="both"/>
      </w:pPr>
      <w:r>
        <w:rPr>
          <w:rFonts w:ascii="Calibri" w:cs="Calibri" w:eastAsia="Calibri" w:hAnsi="Calibri"/>
          <w:b/>
          <w:bCs/>
          <w:color w:val="1F3864"/>
          <w:sz w:val="22"/>
          <w:szCs w:val="22"/>
        </w:rPr>
        <w:t xml:space="preserve">P9. </w:t>
      </w:r>
      <w:r>
        <w:rPr>
          <w:rFonts w:ascii="Calibri" w:cs="Calibri" w:eastAsia="Calibri" w:hAnsi="Calibri"/>
          <w:sz w:val="22"/>
          <w:szCs w:val="22"/>
        </w:rPr>
        <w:t xml:space="preserve">¿Qué tendrías que ver, leer o escuchar para considerar seriamente probar algo distinto para leer capacidad municipal o identificar proyectos viables?</w:t>
      </w:r>
    </w:p>
    <w:p>
      <w:pPr>
        <w:spacing w:after="90" w:line="270"/>
        <w:jc w:val="both"/>
      </w:pPr>
      <w:r>
        <w:rPr>
          <w:rFonts w:ascii="Calibri" w:cs="Calibri" w:eastAsia="Calibri" w:hAnsi="Calibri"/>
          <w:b/>
          <w:bCs/>
          <w:color w:val="1F3864"/>
          <w:sz w:val="22"/>
          <w:szCs w:val="22"/>
        </w:rPr>
        <w:t xml:space="preserve">P10. </w:t>
      </w:r>
      <w:r>
        <w:rPr>
          <w:rFonts w:ascii="Calibri" w:cs="Calibri" w:eastAsia="Calibri" w:hAnsi="Calibri"/>
          <w:sz w:val="22"/>
          <w:szCs w:val="22"/>
        </w:rPr>
        <w:t xml:space="preserve">¿Bajo qué rubro o convenio se pagaría algo así (innovación, tecnología, desarrollo de canales, fortalecimiento institucional, asistencia técnica, cooperación)? ¿Hay disponibilidad real?</w:t>
      </w:r>
    </w:p>
    <w:p>
      <w:pPr>
        <w:spacing w:after="90" w:line="270"/>
        <w:jc w:val="both"/>
      </w:pPr>
      <w:r>
        <w:rPr>
          <w:rFonts w:ascii="Calibri" w:cs="Calibri" w:eastAsia="Calibri" w:hAnsi="Calibri"/>
          <w:b/>
          <w:bCs/>
          <w:color w:val="1F3864"/>
          <w:sz w:val="22"/>
          <w:szCs w:val="22"/>
        </w:rPr>
        <w:t xml:space="preserve">P11. </w:t>
      </w:r>
      <w:r>
        <w:rPr>
          <w:rFonts w:ascii="Calibri" w:cs="Calibri" w:eastAsia="Calibri" w:hAnsi="Calibri"/>
          <w:sz w:val="22"/>
          <w:szCs w:val="22"/>
        </w:rPr>
        <w:t xml:space="preserve">Si tu entidad adopta una herramienta nueva, ¿qué haría que fracase? (integración con sistemas internos, regulación o contratación pública, dependencia de proveedor, alineación con sistemas oficiales, reputación).</w:t>
      </w:r>
    </w:p>
    <w:p>
      <w:pPr>
        <w:spacing w:after="90" w:line="270"/>
        <w:jc w:val="both"/>
      </w:pPr>
      <w:r>
        <w:rPr>
          <w:rFonts w:ascii="Calibri" w:cs="Calibri" w:eastAsia="Calibri" w:hAnsi="Calibri"/>
          <w:b/>
          <w:bCs/>
          <w:color w:val="1F3864"/>
          <w:sz w:val="22"/>
          <w:szCs w:val="22"/>
        </w:rPr>
        <w:t xml:space="preserve">P12. </w:t>
      </w:r>
      <w:r>
        <w:rPr>
          <w:rFonts w:ascii="Calibri" w:cs="Calibri" w:eastAsia="Calibri" w:hAnsi="Calibri"/>
          <w:sz w:val="22"/>
          <w:szCs w:val="22"/>
        </w:rPr>
        <w:t xml:space="preserve">¿Quién o qué área sería la más resistente, y por qué?</w:t>
      </w:r>
    </w:p>
    <w:p>
      <w:pPr>
        <w:spacing w:after="90" w:line="270"/>
        <w:jc w:val="both"/>
      </w:pPr>
      <w:r>
        <w:rPr>
          <w:rFonts w:ascii="Calibri" w:cs="Calibri" w:eastAsia="Calibri" w:hAnsi="Calibri"/>
          <w:b/>
          <w:bCs/>
          <w:color w:val="1F3864"/>
          <w:sz w:val="22"/>
          <w:szCs w:val="22"/>
        </w:rPr>
        <w:t xml:space="preserve">P13. </w:t>
      </w:r>
      <w:r>
        <w:rPr>
          <w:rFonts w:ascii="Calibri" w:cs="Calibri" w:eastAsia="Calibri" w:hAnsi="Calibri"/>
          <w:sz w:val="22"/>
          <w:szCs w:val="22"/>
        </w:rPr>
        <w:t xml:space="preserve">¿Qué hace que una relación con un proveedor de información o acompañamiento dure más allá del primer ciclo institucional o presupuestal?</w:t>
      </w:r>
    </w:p>
    <w:p>
      <w:pPr>
        <w:spacing w:after="90" w:line="270"/>
        <w:jc w:val="both"/>
      </w:pPr>
      <w:r>
        <w:rPr>
          <w:rFonts w:ascii="Calibri" w:cs="Calibri" w:eastAsia="Calibri" w:hAnsi="Calibri"/>
          <w:b/>
          <w:bCs/>
          <w:color w:val="1F3864"/>
          <w:sz w:val="22"/>
          <w:szCs w:val="22"/>
        </w:rPr>
        <w:t xml:space="preserve">P14. </w:t>
      </w:r>
      <w:r>
        <w:rPr>
          <w:rFonts w:ascii="Calibri" w:cs="Calibri" w:eastAsia="Calibri" w:hAnsi="Calibri"/>
          <w:sz w:val="22"/>
          <w:szCs w:val="22"/>
        </w:rPr>
        <w:t xml:space="preserve">Si llegara un cambio de dirección el próximo año (nueva presidencia, gerencia, ministro), ¿qué pasaría con lo que implementaste? ¿Qué sobreviviría?</w:t>
      </w:r>
    </w:p>
    <w:p>
      <w:pPr>
        <w:spacing w:after="90" w:line="270"/>
        <w:jc w:val="both"/>
      </w:pPr>
      <w:r>
        <w:rPr>
          <w:rFonts w:ascii="Calibri" w:cs="Calibri" w:eastAsia="Calibri" w:hAnsi="Calibri"/>
          <w:b/>
          <w:bCs/>
          <w:color w:val="1F3864"/>
          <w:sz w:val="22"/>
          <w:szCs w:val="22"/>
        </w:rPr>
        <w:t xml:space="preserve">P15. </w:t>
      </w:r>
      <w:r>
        <w:rPr>
          <w:rFonts w:ascii="Calibri" w:cs="Calibri" w:eastAsia="Calibri" w:hAnsi="Calibri"/>
          <w:sz w:val="22"/>
          <w:szCs w:val="22"/>
        </w:rPr>
        <w:t xml:space="preserve">Varita mágica: si pudieras resolver hoy un solo problema de la colocación, cofinanciación o ejecución de recursos en municipios, sin límites, ¿cuál sería?</w:t>
      </w:r>
    </w:p>
    <w:p>
      <w:pPr>
        <w:pStyle w:val="Heading2"/>
        <w:spacing w:after="110" w:before="240"/>
      </w:pPr>
      <w:r>
        <w:rPr>
          <w:rFonts w:ascii="Calibri" w:cs="Calibri" w:eastAsia="Calibri" w:hAnsi="Calibri"/>
          <w:b/>
          <w:bCs/>
          <w:color w:val="2E5496"/>
        </w:rPr>
        <w:t xml:space="preserve">Guía B — Segmento Municipio formulador</w:t>
      </w:r>
    </w:p>
    <w:p>
      <w:pPr>
        <w:spacing w:after="120" w:line="276"/>
        <w:jc w:val="both"/>
      </w:pPr>
      <w:r>
        <w:rPr>
          <w:rFonts w:ascii="Calibri" w:cs="Calibri" w:eastAsia="Calibri" w:hAnsi="Calibri"/>
          <w:i/>
          <w:iCs/>
          <w:sz w:val="22"/>
          <w:szCs w:val="22"/>
        </w:rPr>
        <w:t xml:space="preserve">Perfiles: secretario de planeación (cat. 3, 4 y 5), secretario de hacienda como acompañante, y un profesional del equipo técnico como usuario operativo. Entrevistas separadas.</w:t>
      </w:r>
    </w:p>
    <w:p>
      <w:pPr>
        <w:spacing w:after="90" w:line="270"/>
        <w:jc w:val="both"/>
      </w:pPr>
      <w:r>
        <w:rPr>
          <w:rFonts w:ascii="Calibri" w:cs="Calibri" w:eastAsia="Calibri" w:hAnsi="Calibri"/>
          <w:b/>
          <w:bCs/>
          <w:color w:val="1F3864"/>
          <w:sz w:val="22"/>
          <w:szCs w:val="22"/>
        </w:rPr>
        <w:t xml:space="preserve">P1. </w:t>
      </w:r>
      <w:r>
        <w:rPr>
          <w:rFonts w:ascii="Calibri" w:cs="Calibri" w:eastAsia="Calibri" w:hAnsi="Calibri"/>
          <w:sz w:val="22"/>
          <w:szCs w:val="22"/>
        </w:rPr>
        <w:t xml:space="preserve">Contame del último proyecto MGA que presentó tu municipio a una convocatoria importante. ¿Cómo se hizo la estructuración y cómo terminó?</w:t>
      </w:r>
    </w:p>
    <w:p>
      <w:pPr>
        <w:spacing w:after="90" w:line="270"/>
        <w:jc w:val="both"/>
      </w:pPr>
      <w:r>
        <w:rPr>
          <w:rFonts w:ascii="Calibri" w:cs="Calibri" w:eastAsia="Calibri" w:hAnsi="Calibri"/>
          <w:b/>
          <w:bCs/>
          <w:color w:val="1F3864"/>
          <w:sz w:val="22"/>
          <w:szCs w:val="22"/>
        </w:rPr>
        <w:t xml:space="preserve">P2. </w:t>
      </w:r>
      <w:r>
        <w:rPr>
          <w:rFonts w:ascii="Calibri" w:cs="Calibri" w:eastAsia="Calibri" w:hAnsi="Calibri"/>
          <w:sz w:val="22"/>
          <w:szCs w:val="22"/>
        </w:rPr>
        <w:t xml:space="preserve">En los últimos dos años, ¿un proyecto concreto que se cayó, se devolvió o se aprobó por debajo del monto por razones de estructuración técnica?</w:t>
      </w:r>
    </w:p>
    <w:p>
      <w:pPr>
        <w:spacing w:after="90" w:line="270"/>
        <w:jc w:val="both"/>
      </w:pPr>
      <w:r>
        <w:rPr>
          <w:rFonts w:ascii="Calibri" w:cs="Calibri" w:eastAsia="Calibri" w:hAnsi="Calibri"/>
          <w:b/>
          <w:bCs/>
          <w:color w:val="1F3864"/>
          <w:sz w:val="22"/>
          <w:szCs w:val="22"/>
        </w:rPr>
        <w:t xml:space="preserve">P3. </w:t>
      </w:r>
      <w:r>
        <w:rPr>
          <w:rFonts w:ascii="Calibri" w:cs="Calibri" w:eastAsia="Calibri" w:hAnsi="Calibri"/>
          <w:sz w:val="22"/>
          <w:szCs w:val="22"/>
        </w:rPr>
        <w:t xml:space="preserve">¿Los tres principales dolores de cabeza de tu cargo este año en términos de proyectos de inversión?</w:t>
      </w:r>
    </w:p>
    <w:p>
      <w:pPr>
        <w:spacing w:after="90" w:line="270"/>
        <w:jc w:val="both"/>
      </w:pPr>
      <w:r>
        <w:rPr>
          <w:rFonts w:ascii="Calibri" w:cs="Calibri" w:eastAsia="Calibri" w:hAnsi="Calibri"/>
          <w:b/>
          <w:bCs/>
          <w:color w:val="1F3864"/>
          <w:sz w:val="22"/>
          <w:szCs w:val="22"/>
        </w:rPr>
        <w:t xml:space="preserve">P4. </w:t>
      </w:r>
      <w:r>
        <w:rPr>
          <w:rFonts w:ascii="Calibri" w:cs="Calibri" w:eastAsia="Calibri" w:hAnsi="Calibri"/>
          <w:sz w:val="22"/>
          <w:szCs w:val="22"/>
        </w:rPr>
        <w:t xml:space="preserve">Cuando llega una convocatoria nueva, ¿cómo armás un proyecto MGA de inicio a fin? (quién hace qué, con qué herramientas, en cuánto tiempo, qué pasa ante dudas técnicas).</w:t>
      </w:r>
    </w:p>
    <w:p>
      <w:pPr>
        <w:spacing w:after="90" w:line="270"/>
        <w:jc w:val="both"/>
      </w:pPr>
      <w:r>
        <w:rPr>
          <w:rFonts w:ascii="Calibri" w:cs="Calibri" w:eastAsia="Calibri" w:hAnsi="Calibri"/>
          <w:b/>
          <w:bCs/>
          <w:color w:val="1F3864"/>
          <w:sz w:val="22"/>
          <w:szCs w:val="22"/>
        </w:rPr>
        <w:t xml:space="preserve">P5. </w:t>
      </w:r>
      <w:r>
        <w:rPr>
          <w:rFonts w:ascii="Calibri" w:cs="Calibri" w:eastAsia="Calibri" w:hAnsi="Calibri"/>
          <w:sz w:val="22"/>
          <w:szCs w:val="22"/>
        </w:rPr>
        <w:t xml:space="preserve">De ese proceso, ¿qué te funciona, qué te genera más fricción y qué te toca hacer aunque sepas que no es la mejor manera?</w:t>
      </w:r>
    </w:p>
    <w:p>
      <w:pPr>
        <w:spacing w:after="90" w:line="270"/>
        <w:jc w:val="both"/>
      </w:pPr>
      <w:r>
        <w:rPr>
          <w:rFonts w:ascii="Calibri" w:cs="Calibri" w:eastAsia="Calibri" w:hAnsi="Calibri"/>
          <w:b/>
          <w:bCs/>
          <w:color w:val="1F3864"/>
          <w:sz w:val="22"/>
          <w:szCs w:val="22"/>
        </w:rPr>
        <w:t xml:space="preserve">P6. </w:t>
      </w:r>
      <w:r>
        <w:rPr>
          <w:rFonts w:ascii="Calibri" w:cs="Calibri" w:eastAsia="Calibri" w:hAnsi="Calibri"/>
          <w:sz w:val="22"/>
          <w:szCs w:val="22"/>
        </w:rPr>
        <w:t xml:space="preserve">Cuando un proyecto se cae o se devuelve, ¿qué pasa en el municipio? (recursos perdidos en consultoría, obras retrasadas, concejo, comunidad, resto de la administración).</w:t>
      </w:r>
    </w:p>
    <w:p>
      <w:pPr>
        <w:spacing w:after="90" w:line="270"/>
        <w:jc w:val="both"/>
      </w:pPr>
      <w:r>
        <w:rPr>
          <w:rFonts w:ascii="Calibri" w:cs="Calibri" w:eastAsia="Calibri" w:hAnsi="Calibri"/>
          <w:b/>
          <w:bCs/>
          <w:color w:val="1F3864"/>
          <w:sz w:val="22"/>
          <w:szCs w:val="22"/>
        </w:rPr>
        <w:t xml:space="preserve">P7. </w:t>
      </w:r>
      <w:r>
        <w:rPr>
          <w:rFonts w:ascii="Calibri" w:cs="Calibri" w:eastAsia="Calibri" w:hAnsi="Calibri"/>
          <w:sz w:val="22"/>
          <w:szCs w:val="22"/>
        </w:rPr>
        <w:t xml:space="preserve">¿Estos casos han llegado este año al concejo, a control interno o a la prensa local, o se gestionan dentro de planeación?</w:t>
      </w:r>
    </w:p>
    <w:p>
      <w:pPr>
        <w:spacing w:after="90" w:line="270"/>
        <w:jc w:val="both"/>
      </w:pPr>
      <w:r>
        <w:rPr>
          <w:rFonts w:ascii="Calibri" w:cs="Calibri" w:eastAsia="Calibri" w:hAnsi="Calibri"/>
          <w:b/>
          <w:bCs/>
          <w:color w:val="1F3864"/>
          <w:sz w:val="22"/>
          <w:szCs w:val="22"/>
        </w:rPr>
        <w:t xml:space="preserve">P8. </w:t>
      </w:r>
      <w:r>
        <w:rPr>
          <w:rFonts w:ascii="Calibri" w:cs="Calibri" w:eastAsia="Calibri" w:hAnsi="Calibri"/>
          <w:sz w:val="22"/>
          <w:szCs w:val="22"/>
        </w:rPr>
        <w:t xml:space="preserve">Cuando el municipio decide adoptar una herramienta o metodología nueva para formular, ¿cómo se toma la decisión? ¿Quiénes participan, en qué momento del año?</w:t>
      </w:r>
    </w:p>
    <w:p>
      <w:pPr>
        <w:spacing w:after="90" w:line="270"/>
        <w:jc w:val="both"/>
      </w:pPr>
      <w:r>
        <w:rPr>
          <w:rFonts w:ascii="Calibri" w:cs="Calibri" w:eastAsia="Calibri" w:hAnsi="Calibri"/>
          <w:b/>
          <w:bCs/>
          <w:color w:val="1F3864"/>
          <w:sz w:val="22"/>
          <w:szCs w:val="22"/>
        </w:rPr>
        <w:t xml:space="preserve">P9. </w:t>
      </w:r>
      <w:r>
        <w:rPr>
          <w:rFonts w:ascii="Calibri" w:cs="Calibri" w:eastAsia="Calibri" w:hAnsi="Calibri"/>
          <w:sz w:val="22"/>
          <w:szCs w:val="22"/>
        </w:rPr>
        <w:t xml:space="preserve">¿Qué tendrías que ver o escuchar para considerar seriamente cambiar la forma en que tu equipo formula hoy?</w:t>
      </w:r>
    </w:p>
    <w:p>
      <w:pPr>
        <w:spacing w:after="90" w:line="270"/>
        <w:jc w:val="both"/>
      </w:pPr>
      <w:r>
        <w:rPr>
          <w:rFonts w:ascii="Calibri" w:cs="Calibri" w:eastAsia="Calibri" w:hAnsi="Calibri"/>
          <w:b/>
          <w:bCs/>
          <w:color w:val="1F3864"/>
          <w:sz w:val="22"/>
          <w:szCs w:val="22"/>
        </w:rPr>
        <w:t xml:space="preserve">P10. </w:t>
      </w:r>
      <w:r>
        <w:rPr>
          <w:rFonts w:ascii="Calibri" w:cs="Calibri" w:eastAsia="Calibri" w:hAnsi="Calibri"/>
          <w:sz w:val="22"/>
          <w:szCs w:val="22"/>
        </w:rPr>
        <w:t xml:space="preserve">¿Cómo se pagaría algo así (presupuesto propio, convenio con la gobernación, recursos de la convocatoria, cooperación)? ¿Hay viabilidad real?</w:t>
      </w:r>
    </w:p>
    <w:p>
      <w:pPr>
        <w:spacing w:after="90" w:line="270"/>
        <w:jc w:val="both"/>
      </w:pPr>
      <w:r>
        <w:rPr>
          <w:rFonts w:ascii="Calibri" w:cs="Calibri" w:eastAsia="Calibri" w:hAnsi="Calibri"/>
          <w:b/>
          <w:bCs/>
          <w:color w:val="1F3864"/>
          <w:sz w:val="22"/>
          <w:szCs w:val="22"/>
        </w:rPr>
        <w:t xml:space="preserve">P11. </w:t>
      </w:r>
      <w:r>
        <w:rPr>
          <w:rFonts w:ascii="Calibri" w:cs="Calibri" w:eastAsia="Calibri" w:hAnsi="Calibri"/>
          <w:sz w:val="22"/>
          <w:szCs w:val="22"/>
        </w:rPr>
        <w:t xml:space="preserve">Si tu municipio adopta algo nuevo para formular, ¿qué haría que fracase en la práctica? (rotación de personal, conectividad, equipamiento, resistencia interna).</w:t>
      </w:r>
    </w:p>
    <w:p>
      <w:pPr>
        <w:spacing w:after="90" w:line="270"/>
        <w:jc w:val="both"/>
      </w:pPr>
      <w:r>
        <w:rPr>
          <w:rFonts w:ascii="Calibri" w:cs="Calibri" w:eastAsia="Calibri" w:hAnsi="Calibri"/>
          <w:b/>
          <w:bCs/>
          <w:color w:val="1F3864"/>
          <w:sz w:val="22"/>
          <w:szCs w:val="22"/>
        </w:rPr>
        <w:t xml:space="preserve">P12. </w:t>
      </w:r>
      <w:r>
        <w:rPr>
          <w:rFonts w:ascii="Calibri" w:cs="Calibri" w:eastAsia="Calibri" w:hAnsi="Calibri"/>
          <w:sz w:val="22"/>
          <w:szCs w:val="22"/>
        </w:rPr>
        <w:t xml:space="preserve">¿Quién en el municipio o en el entorno sería el más resistente, y por qué?</w:t>
      </w:r>
    </w:p>
    <w:p>
      <w:pPr>
        <w:spacing w:after="90" w:line="270"/>
        <w:jc w:val="both"/>
      </w:pPr>
      <w:r>
        <w:rPr>
          <w:rFonts w:ascii="Calibri" w:cs="Calibri" w:eastAsia="Calibri" w:hAnsi="Calibri"/>
          <w:b/>
          <w:bCs/>
          <w:color w:val="1F3864"/>
          <w:sz w:val="22"/>
          <w:szCs w:val="22"/>
        </w:rPr>
        <w:t xml:space="preserve">P13. </w:t>
      </w:r>
      <w:r>
        <w:rPr>
          <w:rFonts w:ascii="Calibri" w:cs="Calibri" w:eastAsia="Calibri" w:hAnsi="Calibri"/>
          <w:sz w:val="22"/>
          <w:szCs w:val="22"/>
        </w:rPr>
        <w:t xml:space="preserve">¿Qué hace que una herramienta o metodología sobreviva en el municipio más allá del periodo de un alcalde?</w:t>
      </w:r>
    </w:p>
    <w:p>
      <w:pPr>
        <w:spacing w:after="90" w:line="270"/>
        <w:jc w:val="both"/>
      </w:pPr>
      <w:r>
        <w:rPr>
          <w:rFonts w:ascii="Calibri" w:cs="Calibri" w:eastAsia="Calibri" w:hAnsi="Calibri"/>
          <w:b/>
          <w:bCs/>
          <w:color w:val="1F3864"/>
          <w:sz w:val="22"/>
          <w:szCs w:val="22"/>
        </w:rPr>
        <w:t xml:space="preserve">P14. </w:t>
      </w:r>
      <w:r>
        <w:rPr>
          <w:rFonts w:ascii="Calibri" w:cs="Calibri" w:eastAsia="Calibri" w:hAnsi="Calibri"/>
          <w:sz w:val="22"/>
          <w:szCs w:val="22"/>
        </w:rPr>
        <w:t xml:space="preserve">Si el año entrante llega un nuevo alcalde con su equipo, ¿qué pasa con los procesos y herramientas que pusiste a funcionar?</w:t>
      </w:r>
    </w:p>
    <w:p>
      <w:pPr>
        <w:spacing w:after="90" w:line="270"/>
        <w:jc w:val="both"/>
      </w:pPr>
      <w:r>
        <w:rPr>
          <w:rFonts w:ascii="Calibri" w:cs="Calibri" w:eastAsia="Calibri" w:hAnsi="Calibri"/>
          <w:b/>
          <w:bCs/>
          <w:color w:val="1F3864"/>
          <w:sz w:val="22"/>
          <w:szCs w:val="22"/>
        </w:rPr>
        <w:t xml:space="preserve">P15. </w:t>
      </w:r>
      <w:r>
        <w:rPr>
          <w:rFonts w:ascii="Calibri" w:cs="Calibri" w:eastAsia="Calibri" w:hAnsi="Calibri"/>
          <w:sz w:val="22"/>
          <w:szCs w:val="22"/>
        </w:rPr>
        <w:t xml:space="preserve">Varita mágica: si pudieras resolver hoy un solo problema de la formulación de proyectos en tu municipio, sin límites, ¿cuál sería?</w:t>
      </w:r>
    </w:p>
    <w:tbl>
      <w:tblPr>
        <w:tblW w:type="pct" w:w="100%"/>
        <w:tblBorders>
          <w:top w:val="single" w:color="7F6000" w:sz="2"/>
          <w:left w:val="single" w:color="7F6000" w:sz="14"/>
          <w:bottom w:val="single" w:color="7F6000" w:sz="2"/>
          <w:right w:val="single" w:color="7F6000" w:sz="2"/>
          <w:insideH w:val="none"/>
          <w:insideV w:val="none"/>
        </w:tblBorders>
      </w:tblPr>
      <w:tblGrid>
        <w:gridCol w:w="9360"/>
      </w:tblGrid>
      <w:tr>
        <w:tc>
          <w:tcPr>
            <w:tcW w:type="dxa" w:w="9360"/>
            <w:shd w:fill="FBF3D5" w:val="clear"/>
            <w:tcMar>
              <w:top w:type="dxa" w:w="100"/>
              <w:left w:type="dxa" w:w="160"/>
              <w:bottom w:type="dxa" w:w="100"/>
              <w:right w:type="dxa" w:w="160"/>
            </w:tcMar>
          </w:tcPr>
          <w:p>
            <w:pPr>
              <w:spacing w:after="50"/>
            </w:pPr>
            <w:r>
              <w:rPr>
                <w:rFonts w:ascii="Calibri" w:cs="Calibri" w:eastAsia="Calibri" w:hAnsi="Calibri"/>
                <w:b/>
                <w:bCs/>
                <w:color w:val="7F6000"/>
                <w:sz w:val="22"/>
                <w:szCs w:val="22"/>
              </w:rPr>
              <w:t xml:space="preserve">Reglas de campo</w:t>
            </w:r>
          </w:p>
          <w:p>
            <w:pPr>
              <w:spacing w:after="40"/>
              <w:jc w:val="both"/>
            </w:pPr>
            <w:r>
              <w:rPr>
                <w:rFonts w:ascii="Calibri" w:cs="Calibri" w:eastAsia="Calibri" w:hAnsi="Calibri"/>
                <w:sz w:val="21"/>
                <w:szCs w:val="21"/>
              </w:rPr>
              <w:t xml:space="preserve">Duración 45–60 min; grabar con autorización y tomar notas en paralelo. Registrar hechos ocurridos, no especulación (solo el hecho cuenta como validación). No leer las preguntas de corrido: memorizarlas y sostener el silencio. Mínimo 5 entrevistas.</w:t>
            </w:r>
          </w:p>
        </w:tc>
      </w:tr>
    </w:tbl>
    <w:sectPr>
      <w:headerReference w:type="default" r:id="rId7"/>
      <w:footerReference w:type="default" r:id="rId8"/>
      <w:pgSz w:w="12240" w:h="15840" w:orient="portrait"/>
      <w:pgMar w:top="120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PuBlitec · Fase 2 — Descubrimiento y validación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PuBlitec · Fase 2 — Descubrimiento y validación</dc:title>
  <dc:creator>Valor Público — EAFIT</dc:creator>
  <cp:lastModifiedBy>Un-named</cp:lastModifiedBy>
  <cp:revision>1</cp:revision>
  <dcterms:created xsi:type="dcterms:W3CDTF">2026-07-21T20:31:29.081Z</dcterms:created>
  <dcterms:modified xsi:type="dcterms:W3CDTF">2026-07-21T20:31:29.094Z</dcterms:modified>
</cp:coreProperties>
</file>

<file path=docProps/custom.xml><?xml version="1.0" encoding="utf-8"?>
<Properties xmlns="http://schemas.openxmlformats.org/officeDocument/2006/custom-properties" xmlns:vt="http://schemas.openxmlformats.org/officeDocument/2006/docPropsVTypes"/>
</file>