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1F3864"/>
          <w:sz w:val="72"/>
          <w:szCs w:val="72"/>
        </w:rPr>
        <w:t xml:space="preserve">PUBLITEC</w:t>
      </w:r>
    </w:p>
    <w:p>
      <w:pPr>
        <w:spacing w:after="120"/>
        <w:jc w:val="center"/>
      </w:pPr>
      <w:r>
        <w:rPr>
          <w:rFonts w:ascii="Calibri" w:cs="Calibri" w:eastAsia="Calibri" w:hAnsi="Calibri"/>
          <w:color w:val="2E5496"/>
          <w:sz w:val="32"/>
          <w:szCs w:val="32"/>
        </w:rPr>
        <w:t xml:space="preserve">Documento maestro consolidado</w:t>
      </w:r>
    </w:p>
    <w:p>
      <w:pPr>
        <w:jc w:val="center"/>
      </w:pPr>
      <w:r>
        <w:rPr>
          <w:rFonts w:ascii="Calibri" w:cs="Calibri" w:eastAsia="Calibri" w:hAnsi="Calibri"/>
          <w:i/>
          <w:iCs/>
          <w:color w:val="595959"/>
          <w:sz w:val="24"/>
          <w:szCs w:val="24"/>
        </w:rPr>
        <w:t xml:space="preserve">Qué es, cómo evolucionó y todo el trabajo desarrollado</w:t>
      </w:r>
    </w:p>
    <w:p>
      <w:pPr>
        <w:pBdr>
          <w:bottom w:val="single" w:color="C00000" w:sz="6" w:space="6"/>
        </w:pBdr>
        <w:spacing w:before="200"/>
        <w:jc w:val="center"/>
      </w:pPr>
    </w:p>
    <w:p>
      <w:pPr>
        <w:spacing w:after="60" w:before="400"/>
        <w:jc w:val="center"/>
      </w:pPr>
      <w:r>
        <w:rPr>
          <w:rFonts w:ascii="Calibri" w:cs="Calibri" w:eastAsia="Calibri" w:hAnsi="Calibri"/>
          <w:color w:val="404040"/>
          <w:sz w:val="22"/>
          <w:szCs w:val="22"/>
        </w:rPr>
        <w:t xml:space="preserve">Plataforma de gestión de convocatorias públicas con inteligencia artificial</w:t>
      </w:r>
    </w:p>
    <w:p>
      <w:pPr>
        <w:jc w:val="center"/>
      </w:pPr>
      <w:r>
        <w:rPr>
          <w:rFonts w:ascii="Calibri" w:cs="Calibri" w:eastAsia="Calibri" w:hAnsi="Calibri"/>
          <w:color w:val="404040"/>
          <w:sz w:val="22"/>
          <w:szCs w:val="22"/>
        </w:rPr>
        <w:t xml:space="preserve">para la formulación, evaluación y seguimiento de proyectos MGA</w:t>
      </w:r>
    </w:p>
    <w:p>
      <w:pPr>
        <w:spacing w:after="600"/>
      </w:pPr>
    </w:p>
    <w:p>
      <w:pPr>
        <w:spacing w:after="40"/>
        <w:jc w:val="center"/>
      </w:pPr>
      <w:r>
        <w:rPr>
          <w:rFonts w:ascii="Calibri" w:cs="Calibri" w:eastAsia="Calibri" w:hAnsi="Calibri"/>
          <w:sz w:val="20"/>
          <w:szCs w:val="20"/>
        </w:rPr>
        <w:t xml:space="preserve">Grupo de Investigación Gobierno, Políticas y Desarrollo (Valor Público)</w:t>
      </w:r>
    </w:p>
    <w:p>
      <w:pPr>
        <w:spacing w:after="40"/>
        <w:jc w:val="center"/>
      </w:pPr>
      <w:r>
        <w:rPr>
          <w:rFonts w:ascii="Calibri" w:cs="Calibri" w:eastAsia="Calibri" w:hAnsi="Calibri"/>
          <w:sz w:val="20"/>
          <w:szCs w:val="20"/>
        </w:rPr>
        <w:t xml:space="preserve">Escuela de Finanzas, Economía y Gobierno · Universidad EAFIT</w:t>
      </w:r>
    </w:p>
    <w:p>
      <w:pPr>
        <w:spacing w:after="40"/>
        <w:jc w:val="center"/>
      </w:pPr>
      <w:r>
        <w:rPr>
          <w:rFonts w:ascii="Calibri" w:cs="Calibri" w:eastAsia="Calibri" w:hAnsi="Calibri"/>
          <w:sz w:val="20"/>
          <w:szCs w:val="20"/>
        </w:rPr>
        <w:t xml:space="preserve">Programa Lab to Market 2026 · Convocatoria de Alistamiento Tecnológico EAFIT 2026–2027</w:t>
      </w:r>
    </w:p>
    <w:p>
      <w:pPr>
        <w:spacing w:after="500"/>
      </w:pPr>
    </w:p>
    <w:p>
      <w:pPr>
        <w:jc w:val="center"/>
      </w:pPr>
      <w:r>
        <w:rPr>
          <w:rFonts w:ascii="Calibri" w:cs="Calibri" w:eastAsia="Calibri" w:hAnsi="Calibri"/>
          <w:i/>
          <w:iCs/>
          <w:color w:val="595959"/>
          <w:sz w:val="20"/>
          <w:szCs w:val="20"/>
        </w:rPr>
        <w:t xml:space="preserve">Consolidado preparado para Mároly (Mára) Rada Bedoya, coinvestigadora</w:t>
      </w:r>
    </w:p>
    <w:p>
      <w:pPr>
        <w:jc w:val="center"/>
      </w:pPr>
      <w:r>
        <w:rPr>
          <w:rFonts w:ascii="Calibri" w:cs="Calibri" w:eastAsia="Calibri" w:hAnsi="Calibri"/>
          <w:i/>
          <w:iCs/>
          <w:color w:val="595959"/>
          <w:sz w:val="20"/>
          <w:szCs w:val="20"/>
        </w:rPr>
        <w:t xml:space="preserve">Julio de 2026</w:t>
      </w:r>
    </w:p>
    <w:p>
      <w:r>
        <w:br w:type="page"/>
      </w:r>
    </w:p>
    <w:p>
      <w:pPr>
        <w:pStyle w:val="Heading1"/>
        <w:spacing w:after="160" w:before="320"/>
      </w:pPr>
      <w:r>
        <w:rPr>
          <w:rFonts w:ascii="Calibri" w:cs="Calibri" w:eastAsia="Calibri" w:hAnsi="Calibri"/>
          <w:b/>
          <w:bCs/>
          <w:color w:val="1F3864"/>
        </w:rPr>
        <w:t xml:space="preserve">Nota sobre este documento</w:t>
      </w:r>
    </w:p>
    <w:p>
      <w:pPr>
        <w:spacing w:after="120" w:line="276"/>
        <w:jc w:val="both"/>
      </w:pPr>
      <w:r>
        <w:rPr>
          <w:rFonts w:ascii="Calibri" w:cs="Calibri" w:eastAsia="Calibri" w:hAnsi="Calibri"/>
          <w:sz w:val="22"/>
          <w:szCs w:val="22"/>
        </w:rPr>
        <w:t xml:space="preserve">Este documento reúne, en un solo lugar, todo lo que hoy sabemos sobre PuBlitec: qué es el producto, de dónde viene, las modificaciones que se le han hecho, el estado del prototipo desplegado y el trabajo metodológico desarrollado en el programa Lab to Market de EAFIT. Está pensado como una fuente de referencia única para el equipo, redactada con el rigor de un documento académico pero con la claridad que exige una conversación de negocio.</w:t>
      </w:r>
    </w:p>
    <w:p>
      <w:pPr>
        <w:spacing w:after="120" w:line="276"/>
        <w:jc w:val="both"/>
      </w:pPr>
      <w:r>
        <w:rPr>
          <w:rFonts w:ascii="Calibri" w:cs="Calibri" w:eastAsia="Calibri" w:hAnsi="Calibri"/>
          <w:sz w:val="22"/>
          <w:szCs w:val="22"/>
        </w:rPr>
        <w:t xml:space="preserve">Se construyó a partir de dos fuentes complementarias. La primera son los </w:t>
      </w:r>
      <w:r>
        <w:rPr>
          <w:rFonts w:ascii="Calibri" w:cs="Calibri" w:eastAsia="Calibri" w:hAnsi="Calibri"/>
          <w:b/>
          <w:bCs/>
          <w:sz w:val="22"/>
          <w:szCs w:val="22"/>
        </w:rPr>
        <w:t xml:space="preserve">cinco chats de trabajo</w:t>
      </w:r>
      <w:r>
        <w:rPr>
          <w:rFonts w:ascii="Calibri" w:cs="Calibri" w:eastAsia="Calibri" w:hAnsi="Calibri"/>
          <w:sz w:val="22"/>
          <w:szCs w:val="22"/>
        </w:rPr>
        <w:t xml:space="preserve"> en los que se elaboró y depuró el material (la reconstrucción del anexo de la convocatoria y la revisión por lotes del sitio desplegado). La segunda son los </w:t>
      </w:r>
      <w:r>
        <w:rPr>
          <w:rFonts w:ascii="Calibri" w:cs="Calibri" w:eastAsia="Calibri" w:hAnsi="Calibri"/>
          <w:b/>
          <w:bCs/>
          <w:sz w:val="22"/>
          <w:szCs w:val="22"/>
        </w:rPr>
        <w:t xml:space="preserve">trece documentos entregados</w:t>
      </w:r>
      <w:r>
        <w:rPr>
          <w:rFonts w:ascii="Calibri" w:cs="Calibri" w:eastAsia="Calibri" w:hAnsi="Calibri"/>
          <w:sz w:val="22"/>
          <w:szCs w:val="22"/>
        </w:rPr>
        <w:t xml:space="preserve"> del taller Lab to Market: las matrices de descubrimiento del cliente, la guía de validación comercial, el análisis de mercado, el brief técnico, la guía de pruebas, el memo de la sesión 4, el pitch y las dos versiones del Anexo 02 de la convocatoria.</w:t>
      </w:r>
    </w:p>
    <w:tbl>
      <w:tblPr>
        <w:tblW w:type="pct" w:w="100%"/>
        <w:tblBorders>
          <w:top w:val="single" w:color="1F3864" w:sz="2"/>
          <w:left w:val="single" w:color="1F3864" w:sz="14"/>
          <w:bottom w:val="single" w:color="1F3864" w:sz="2"/>
          <w:right w:val="single" w:color="1F3864" w:sz="2"/>
          <w:insideH w:val="none"/>
          <w:insideV w:val="none"/>
        </w:tblBorders>
      </w:tblPr>
      <w:tblGrid>
        <w:gridCol w:w="9360"/>
      </w:tblGrid>
      <w:tr>
        <w:tc>
          <w:tcPr>
            <w:tcW w:type="dxa" w:w="9360"/>
            <w:shd w:fill="D9E2F3" w:val="clear"/>
            <w:tcMar>
              <w:top w:type="dxa" w:w="100"/>
              <w:left w:type="dxa" w:w="160"/>
              <w:bottom w:type="dxa" w:w="100"/>
              <w:right w:type="dxa" w:w="160"/>
            </w:tcMar>
          </w:tcPr>
          <w:p>
            <w:pPr>
              <w:spacing w:after="60"/>
            </w:pPr>
            <w:r>
              <w:rPr>
                <w:rFonts w:ascii="Calibri" w:cs="Calibri" w:eastAsia="Calibri" w:hAnsi="Calibri"/>
                <w:b/>
                <w:bCs/>
                <w:color w:val="1F3864"/>
                <w:sz w:val="22"/>
                <w:szCs w:val="22"/>
              </w:rPr>
              <w:t xml:space="preserve">Cómo está organizado</w:t>
            </w:r>
          </w:p>
          <w:p>
            <w:pPr>
              <w:spacing w:after="40"/>
              <w:jc w:val="both"/>
            </w:pPr>
            <w:r>
              <w:rPr>
                <w:rFonts w:ascii="Calibri" w:cs="Calibri" w:eastAsia="Calibri" w:hAnsi="Calibri"/>
                <w:sz w:val="21"/>
                <w:szCs w:val="21"/>
              </w:rPr>
              <w:t xml:space="preserve">Parte I — Qué es PuBlitec: definición, problema, producto, arquitectura, modelo de negocio y mercado.</w:t>
            </w:r>
          </w:p>
          <w:p>
            <w:pPr>
              <w:spacing w:after="40"/>
              <w:jc w:val="both"/>
            </w:pPr>
            <w:r>
              <w:rPr>
                <w:rFonts w:ascii="Calibri" w:cs="Calibri" w:eastAsia="Calibri" w:hAnsi="Calibri"/>
                <w:sz w:val="21"/>
                <w:szCs w:val="21"/>
              </w:rPr>
              <w:t xml:space="preserve">Parte II — Historia y modificaciones, chat por chat: qué se decidió y qué cambió en cada conversación.</w:t>
            </w:r>
          </w:p>
          <w:p>
            <w:pPr>
              <w:spacing w:after="40"/>
              <w:jc w:val="both"/>
            </w:pPr>
            <w:r>
              <w:rPr>
                <w:rFonts w:ascii="Calibri" w:cs="Calibri" w:eastAsia="Calibri" w:hAnsi="Calibri"/>
                <w:sz w:val="21"/>
                <w:szCs w:val="21"/>
              </w:rPr>
              <w:t xml:space="preserve">Parte III — El trabajo Lab to Market: descubrimiento del cliente, validación comercial y pitch.</w:t>
            </w:r>
          </w:p>
          <w:p>
            <w:pPr>
              <w:spacing w:after="40"/>
              <w:jc w:val="both"/>
            </w:pPr>
            <w:r>
              <w:rPr>
                <w:rFonts w:ascii="Calibri" w:cs="Calibri" w:eastAsia="Calibri" w:hAnsi="Calibri"/>
                <w:sz w:val="21"/>
                <w:szCs w:val="21"/>
              </w:rPr>
              <w:t xml:space="preserve">Parte IV — El producto desplegado: hallazgos de la revisión por lotes (A, B y C) del sitio real.</w:t>
            </w:r>
          </w:p>
          <w:p>
            <w:pPr>
              <w:spacing w:after="40"/>
              <w:jc w:val="both"/>
            </w:pPr>
            <w:r>
              <w:rPr>
                <w:rFonts w:ascii="Calibri" w:cs="Calibri" w:eastAsia="Calibri" w:hAnsi="Calibri"/>
                <w:sz w:val="21"/>
                <w:szCs w:val="21"/>
              </w:rPr>
              <w:t xml:space="preserve">Parte V — La evolución del Anexo 02: de la versión de marzo a la de mayo.</w:t>
            </w:r>
          </w:p>
          <w:p>
            <w:pPr>
              <w:spacing w:after="40"/>
              <w:jc w:val="both"/>
            </w:pPr>
            <w:r>
              <w:rPr>
                <w:rFonts w:ascii="Calibri" w:cs="Calibri" w:eastAsia="Calibri" w:hAnsi="Calibri"/>
                <w:sz w:val="21"/>
                <w:szCs w:val="21"/>
              </w:rPr>
              <w:t xml:space="preserve">Glosario y fuentes al final.</w:t>
            </w:r>
          </w:p>
        </w:tc>
      </w:tr>
    </w:tbl>
    <w:p>
      <w:pPr>
        <w:spacing w:after="120"/>
      </w:pPr>
    </w:p>
    <w:p>
      <w:pPr>
        <w:pStyle w:val="Heading2"/>
        <w:spacing w:after="120" w:before="240"/>
      </w:pPr>
      <w:r>
        <w:rPr>
          <w:rFonts w:ascii="Calibri" w:cs="Calibri" w:eastAsia="Calibri" w:hAnsi="Calibri"/>
          <w:b/>
          <w:bCs/>
          <w:color w:val="2E5496"/>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F3864"/>
        </w:rPr>
        <w:t xml:space="preserve">Parte I. Qué es PuBlitec</w:t>
      </w:r>
    </w:p>
    <w:p>
      <w:pPr>
        <w:pStyle w:val="Heading2"/>
        <w:spacing w:after="120" w:before="240"/>
      </w:pPr>
      <w:r>
        <w:rPr>
          <w:rFonts w:ascii="Calibri" w:cs="Calibri" w:eastAsia="Calibri" w:hAnsi="Calibri"/>
          <w:b/>
          <w:bCs/>
          <w:color w:val="2E5496"/>
        </w:rPr>
        <w:t xml:space="preserve">1. Definición en una frase</w:t>
      </w:r>
    </w:p>
    <w:tbl>
      <w:tblPr>
        <w:tblW w:type="pct" w:w="100%"/>
        <w:tblBorders>
          <w:top w:val="single" w:color="375623" w:sz="2"/>
          <w:left w:val="single" w:color="375623" w:sz="14"/>
          <w:bottom w:val="single" w:color="375623" w:sz="2"/>
          <w:right w:val="single" w:color="375623" w:sz="2"/>
          <w:insideH w:val="none"/>
          <w:insideV w:val="none"/>
        </w:tblBorders>
      </w:tblPr>
      <w:tblGrid>
        <w:gridCol w:w="9360"/>
      </w:tblGrid>
      <w:tr>
        <w:tc>
          <w:tcPr>
            <w:tcW w:type="dxa" w:w="9360"/>
            <w:shd w:fill="E2EFDA" w:val="clear"/>
            <w:tcMar>
              <w:top w:type="dxa" w:w="100"/>
              <w:left w:type="dxa" w:w="160"/>
              <w:bottom w:type="dxa" w:w="100"/>
              <w:right w:type="dxa" w:w="160"/>
            </w:tcMar>
          </w:tcPr>
          <w:p>
            <w:pPr>
              <w:spacing w:after="40"/>
              <w:jc w:val="both"/>
            </w:pPr>
            <w:r>
              <w:rPr>
                <w:rFonts w:ascii="Calibri" w:cs="Calibri" w:eastAsia="Calibri" w:hAnsi="Calibri"/>
                <w:sz w:val="21"/>
                <w:szCs w:val="21"/>
              </w:rPr>
              <w:t xml:space="preserve">PuBlitec es una plataforma web con inteligencia artificial generativa que digitaliza el ciclo completo de las convocatorias públicas en Colombia —formulación, evaluación y seguimiento— bajo la Metodología General Ajustada (MGA) del Departamento Nacional de Planeación (DNP).</w:t>
            </w:r>
          </w:p>
        </w:tc>
      </w:tr>
    </w:tbl>
    <w:p>
      <w:pPr>
        <w:spacing w:after="120" w:line="276"/>
        <w:jc w:val="both"/>
      </w:pPr>
      <w:r>
        <w:rPr>
          <w:rFonts w:ascii="Calibri" w:cs="Calibri" w:eastAsia="Calibri" w:hAnsi="Calibri"/>
          <w:sz w:val="22"/>
          <w:szCs w:val="22"/>
        </w:rPr>
        <w:t xml:space="preserve">Sobre esa base operativa, el proyecto ha ido madurando hacia una segunda lectura estratégica más ambiciosa: PuBlitec como </w:t>
      </w:r>
      <w:r>
        <w:rPr>
          <w:rFonts w:ascii="Calibri" w:cs="Calibri" w:eastAsia="Calibri" w:hAnsi="Calibri"/>
          <w:b/>
          <w:bCs/>
          <w:sz w:val="22"/>
          <w:szCs w:val="22"/>
        </w:rPr>
        <w:t xml:space="preserve">infraestructura de datos para el crédito territorial</w:t>
      </w:r>
      <w:r>
        <w:rPr>
          <w:rFonts w:ascii="Calibri" w:cs="Calibri" w:eastAsia="Calibri" w:hAnsi="Calibri"/>
          <w:sz w:val="22"/>
          <w:szCs w:val="22"/>
        </w:rPr>
        <w:t xml:space="preserve">. Es decir, no solo un asistente de formulación para municipios, sino una fuente de señales confiables sobre la capacidad institucional municipal, útil para quien coloca recursos (bancos, institutos de fomento, ministerios). Las dos lecturas conviven y se refuerzan; volveremos sobre ellas al hablar del modelo de negocio.</w:t>
      </w:r>
    </w:p>
    <w:p>
      <w:pPr>
        <w:spacing w:after="120" w:line="276"/>
        <w:jc w:val="both"/>
      </w:pPr>
      <w:r>
        <w:rPr>
          <w:rFonts w:ascii="Calibri" w:cs="Calibri" w:eastAsia="Calibri" w:hAnsi="Calibri"/>
          <w:sz w:val="22"/>
          <w:szCs w:val="22"/>
        </w:rPr>
        <w:t xml:space="preserve">La plataforma está desplegada y es navegable en </w:t>
      </w:r>
      <w:r>
        <w:rPr>
          <w:rFonts w:ascii="Calibri" w:cs="Calibri" w:eastAsia="Calibri" w:hAnsi="Calibri"/>
          <w:i/>
          <w:iCs/>
          <w:color w:val="2E5496"/>
          <w:sz w:val="22"/>
          <w:szCs w:val="22"/>
        </w:rPr>
        <w:t xml:space="preserve">https://publitec-bancolombia.vercel.app</w:t>
      </w:r>
      <w:r>
        <w:rPr>
          <w:rFonts w:ascii="Calibri" w:cs="Calibri" w:eastAsia="Calibri" w:hAnsi="Calibri"/>
          <w:sz w:val="22"/>
          <w:szCs w:val="22"/>
        </w:rPr>
        <w:t xml:space="preserve">. El nombre aparece de forma consistente como «PuBlitec», con la B mayúscula intencional.</w:t>
      </w:r>
    </w:p>
    <w:p>
      <w:pPr>
        <w:pStyle w:val="Heading2"/>
        <w:spacing w:after="120" w:before="240"/>
      </w:pPr>
      <w:r>
        <w:rPr>
          <w:rFonts w:ascii="Calibri" w:cs="Calibri" w:eastAsia="Calibri" w:hAnsi="Calibri"/>
          <w:b/>
          <w:bCs/>
          <w:color w:val="2E5496"/>
        </w:rPr>
        <w:t xml:space="preserve">2. El problema que resuelve</w:t>
      </w:r>
    </w:p>
    <w:p>
      <w:pPr>
        <w:spacing w:after="120" w:line="276"/>
        <w:jc w:val="both"/>
      </w:pPr>
      <w:r>
        <w:rPr>
          <w:rFonts w:ascii="Calibri" w:cs="Calibri" w:eastAsia="Calibri" w:hAnsi="Calibri"/>
          <w:sz w:val="22"/>
          <w:szCs w:val="22"/>
        </w:rPr>
        <w:t xml:space="preserve">Colombia mueve más de 200 billones de pesos al año en inversión pública territorial, distribuidos en tres grandes fuentes: el Sistema General de Regalías (30,9 billones para el bienio 2025–2026), el Sistema General de Participaciones (80,9 billones en 2025) y el Presupuesto General de la Nación, cuyo componente de inversión alcanzó los 99,3 billones en 2024, un máximo histórico. Todo ese dinero pasa por una sola puerta técnica: para acceder a él hay que formular proyectos bajo la MGA, que es el lenguaje obligatorio de la inversión pública en Colombia.</w:t>
      </w:r>
    </w:p>
    <w:p>
      <w:pPr>
        <w:spacing w:after="120" w:line="276"/>
        <w:jc w:val="both"/>
      </w:pPr>
      <w:r>
        <w:rPr>
          <w:rFonts w:ascii="Calibri" w:cs="Calibri" w:eastAsia="Calibri" w:hAnsi="Calibri"/>
          <w:sz w:val="22"/>
          <w:szCs w:val="22"/>
        </w:rPr>
        <w:t xml:space="preserve">Sobre ese flujo masivo opera una asimetría estructural. El </w:t>
      </w:r>
      <w:r>
        <w:rPr>
          <w:rFonts w:ascii="Calibri" w:cs="Calibri" w:eastAsia="Calibri" w:hAnsi="Calibri"/>
          <w:b/>
          <w:bCs/>
          <w:sz w:val="22"/>
          <w:szCs w:val="22"/>
        </w:rPr>
        <w:t xml:space="preserve">87,9 % de los 1.104 municipios del país</w:t>
      </w:r>
      <w:r>
        <w:rPr>
          <w:rFonts w:ascii="Calibri" w:cs="Calibri" w:eastAsia="Calibri" w:hAnsi="Calibri"/>
          <w:sz w:val="22"/>
          <w:szCs w:val="22"/>
        </w:rPr>
        <w:t xml:space="preserve"> pertenece a la categoría 6 —la de menor capacidad fiscal y administrativa— y debe formular bajo la misma exigencia metodológica que Medellín o Bogotá, pero con equipos técnicos de tres personas, alta rotación de personal y sin retroalimentación técnica antes de radicar. El Índice de Desempeño Fiscal 2024 del DNP confirma la magnitud del problema: 759 municipios están en «Riesgo» fiscal y 21 en «Deterioro», frente a un solo municipio del país calificado como «Sostenible» (Samacá, Boyacá). Uno de 1.104.</w:t>
      </w:r>
    </w:p>
    <w:p>
      <w:pPr>
        <w:spacing w:after="120" w:line="276"/>
        <w:jc w:val="both"/>
      </w:pPr>
      <w:r>
        <w:rPr>
          <w:rFonts w:ascii="Calibri" w:cs="Calibri" w:eastAsia="Calibri" w:hAnsi="Calibri"/>
          <w:sz w:val="22"/>
          <w:szCs w:val="22"/>
        </w:rPr>
        <w:t xml:space="preserve">Esa brecha entre el volumen de recursos y la capacidad para formularlos se traduce en cuatro consecuencias medibles: alta tasa de devolución y rechazo de proyectos por inconsistencias metodológicas; dependencia estructural de consultoría externa (entre 8 y 40 millones de pesos por proyecto, que el municipio paga aun si no se aprueba); pérdida de memoria institucional entre periodos de gobierno; y una brecha de digitalización, porque las plataformas oficiales del DNP —MGA Web, SUIFP, PIIP— son transaccionales y de registro, no de asistencia técnica activa.</w:t>
      </w:r>
    </w:p>
    <w:p>
      <w:pPr>
        <w:pStyle w:val="Heading2"/>
        <w:spacing w:after="120" w:before="240"/>
      </w:pPr>
      <w:r>
        <w:rPr>
          <w:rFonts w:ascii="Calibri" w:cs="Calibri" w:eastAsia="Calibri" w:hAnsi="Calibri"/>
          <w:b/>
          <w:bCs/>
          <w:color w:val="2E5496"/>
        </w:rPr>
        <w:t xml:space="preserve">3. El producto: tres módulos integrados</w:t>
      </w:r>
    </w:p>
    <w:p>
      <w:pPr>
        <w:spacing w:after="120" w:line="276"/>
        <w:jc w:val="both"/>
      </w:pPr>
      <w:r>
        <w:rPr>
          <w:rFonts w:ascii="Calibri" w:cs="Calibri" w:eastAsia="Calibri" w:hAnsi="Calibri"/>
          <w:sz w:val="22"/>
          <w:szCs w:val="22"/>
        </w:rPr>
        <w:t xml:space="preserve">PuBlitec se estructura en tres módulos que cubren el ciclo completo de una convocatoria, cada uno con un usuario principal distinto:</w:t>
      </w:r>
    </w:p>
    <w:tbl>
      <w:tblPr>
        <w:tblW w:type="dxa" w:w="936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2400"/>
        <w:gridCol w:w="4760"/>
      </w:tblGrid>
      <w:tr>
        <w:trPr>
          <w:tblHeader/>
        </w:trPr>
        <w:tc>
          <w:tcPr>
            <w:tcW w:type="dxa" w:w="2200"/>
            <w:shd w:fill="2E5496" w:val="clear"/>
            <w:tcMar>
              <w:top w:type="dxa" w:w="60"/>
              <w:left w:type="dxa" w:w="90"/>
              <w:bottom w:type="dxa" w:w="60"/>
              <w:right w:type="dxa" w:w="90"/>
            </w:tcMar>
            <w:vAlign w:val="center"/>
          </w:tcPr>
          <w:p>
            <w:pPr>
              <w:spacing w:after="20" w:line="250"/>
              <w:jc w:val="center"/>
            </w:pPr>
            <w:r>
              <w:rPr>
                <w:rFonts w:ascii="Calibri" w:cs="Calibri" w:eastAsia="Calibri" w:hAnsi="Calibri"/>
                <w:b/>
                <w:bCs/>
                <w:color w:val="FFFFFF"/>
                <w:sz w:val="20"/>
                <w:szCs w:val="20"/>
              </w:rPr>
              <w:t xml:space="preserve">Módulo</w:t>
            </w:r>
          </w:p>
        </w:tc>
        <w:tc>
          <w:tcPr>
            <w:tcW w:type="dxa" w:w="2400"/>
            <w:shd w:fill="2E5496" w:val="clear"/>
            <w:tcMar>
              <w:top w:type="dxa" w:w="60"/>
              <w:left w:type="dxa" w:w="90"/>
              <w:bottom w:type="dxa" w:w="60"/>
              <w:right w:type="dxa" w:w="90"/>
            </w:tcMar>
            <w:vAlign w:val="center"/>
          </w:tcPr>
          <w:p>
            <w:pPr>
              <w:spacing w:after="20" w:line="250"/>
              <w:jc w:val="center"/>
            </w:pPr>
            <w:r>
              <w:rPr>
                <w:rFonts w:ascii="Calibri" w:cs="Calibri" w:eastAsia="Calibri" w:hAnsi="Calibri"/>
                <w:b/>
                <w:bCs/>
                <w:color w:val="FFFFFF"/>
                <w:sz w:val="20"/>
                <w:szCs w:val="20"/>
              </w:rPr>
              <w:t xml:space="preserve">Usuario principal</w:t>
            </w:r>
          </w:p>
        </w:tc>
        <w:tc>
          <w:tcPr>
            <w:tcW w:type="dxa" w:w="4760"/>
            <w:shd w:fill="2E5496" w:val="clear"/>
            <w:tcMar>
              <w:top w:type="dxa" w:w="60"/>
              <w:left w:type="dxa" w:w="90"/>
              <w:bottom w:type="dxa" w:w="60"/>
              <w:right w:type="dxa" w:w="90"/>
            </w:tcMar>
            <w:vAlign w:val="center"/>
          </w:tcPr>
          <w:p>
            <w:pPr>
              <w:spacing w:after="20" w:line="250"/>
              <w:jc w:val="center"/>
            </w:pPr>
            <w:r>
              <w:rPr>
                <w:rFonts w:ascii="Calibri" w:cs="Calibri" w:eastAsia="Calibri" w:hAnsi="Calibri"/>
                <w:b/>
                <w:bCs/>
                <w:color w:val="FFFFFF"/>
                <w:sz w:val="20"/>
                <w:szCs w:val="20"/>
              </w:rPr>
              <w:t xml:space="preserve">Función</w:t>
            </w:r>
          </w:p>
        </w:tc>
      </w:tr>
      <w:tr>
        <w:tc>
          <w:tcPr>
            <w:tcW w:type="dxa" w:w="22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Estructurador de Proyectos</w:t>
            </w:r>
          </w:p>
        </w:tc>
        <w:tc>
          <w:tcPr>
            <w:tcW w:type="dxa" w:w="24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Equipo municipal de planeación</w:t>
            </w:r>
          </w:p>
        </w:tc>
        <w:tc>
          <w:tcPr>
            <w:tcW w:type="dxa" w:w="476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Asistente de formulación campo a campo bajo la lógica MGA. Vectoriza los documentos de la convocatoria mediante RAG, recupera fragmentos normativos por similitud semántica y genera sugerencias ancladas al corpus del DNP. Pre-evalúa el proyecto contra la rúbrica antes del envío.</w:t>
            </w:r>
          </w:p>
        </w:tc>
      </w:tr>
      <w:tr>
        <w:tc>
          <w:tcPr>
            <w:tcW w:type="dxa" w:w="220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Gestor de Convocatorias</w:t>
            </w:r>
          </w:p>
        </w:tc>
        <w:tc>
          <w:tcPr>
            <w:tcW w:type="dxa" w:w="240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Entidad convocante (gobernación, ministerio, fondo, IDEA)</w:t>
            </w:r>
          </w:p>
        </w:tc>
        <w:tc>
          <w:tcPr>
            <w:tcW w:type="dxa" w:w="476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Crea convocatorias con plantilla MGA, parametriza la rúbrica de evaluación, gestiona documentos y etapas, y recibe proyectos pre-evaluados. Incorpora evaluación asistida por IA que el evaluador humano revisa y ajusta.</w:t>
            </w:r>
          </w:p>
        </w:tc>
      </w:tr>
      <w:tr>
        <w:tc>
          <w:tcPr>
            <w:tcW w:type="dxa" w:w="22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Banco de Proyectos</w:t>
            </w:r>
          </w:p>
        </w:tc>
        <w:tc>
          <w:tcPr>
            <w:tcW w:type="dxa" w:w="24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Entidad y municipio</w:t>
            </w:r>
          </w:p>
        </w:tc>
        <w:tc>
          <w:tcPr>
            <w:tcW w:type="dxa" w:w="476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Repositorio con trazabilidad completa de versiones, memoria institucional y analítica por convocatoria y territorio. Resuelve la pérdida de conocimiento entre periodos de gobierno.</w:t>
            </w:r>
          </w:p>
        </w:tc>
      </w:tr>
    </w:tbl>
    <w:p>
      <w:pPr>
        <w:spacing w:after="80"/>
      </w:pPr>
    </w:p>
    <w:tbl>
      <w:tblPr>
        <w:tblW w:type="pct" w:w="100%"/>
        <w:tblBorders>
          <w:top w:val="single" w:color="7F6000" w:sz="2"/>
          <w:left w:val="single" w:color="7F6000" w:sz="14"/>
          <w:bottom w:val="single" w:color="7F6000" w:sz="2"/>
          <w:right w:val="single" w:color="7F6000" w:sz="2"/>
          <w:insideH w:val="none"/>
          <w:insideV w:val="none"/>
        </w:tblBorders>
      </w:tblPr>
      <w:tblGrid>
        <w:gridCol w:w="9360"/>
      </w:tblGrid>
      <w:tr>
        <w:tc>
          <w:tcPr>
            <w:tcW w:type="dxa" w:w="9360"/>
            <w:shd w:fill="FBF3D5" w:val="clear"/>
            <w:tcMar>
              <w:top w:type="dxa" w:w="100"/>
              <w:left w:type="dxa" w:w="160"/>
              <w:bottom w:type="dxa" w:w="100"/>
              <w:right w:type="dxa" w:w="160"/>
            </w:tcMar>
          </w:tcPr>
          <w:p>
            <w:pPr>
              <w:spacing w:after="60"/>
            </w:pPr>
            <w:r>
              <w:rPr>
                <w:rFonts w:ascii="Calibri" w:cs="Calibri" w:eastAsia="Calibri" w:hAnsi="Calibri"/>
                <w:b/>
                <w:bCs/>
                <w:color w:val="7F6000"/>
                <w:sz w:val="22"/>
                <w:szCs w:val="22"/>
              </w:rPr>
              <w:t xml:space="preserve">El diferenciador clave</w:t>
            </w:r>
          </w:p>
          <w:p>
            <w:pPr>
              <w:spacing w:after="40"/>
              <w:jc w:val="both"/>
            </w:pPr>
            <w:r>
              <w:rPr>
                <w:rFonts w:ascii="Calibri" w:cs="Calibri" w:eastAsia="Calibri" w:hAnsi="Calibri"/>
                <w:sz w:val="21"/>
                <w:szCs w:val="21"/>
              </w:rPr>
              <w:t xml:space="preserve">No es la tecnología en sí, sino lo que la plataforma hace antes del envío: ejecuta la rúbrica del evaluador antes de que el municipio radique el proyecto. Eso reduce rondas de corrección y aumenta la tasa de aprobación. Y en ningún punto la IA decide: siempre hay un evaluador humano que valida, ajusta o ratifica (human-in-the-loop).</w:t>
            </w:r>
          </w:p>
        </w:tc>
      </w:tr>
    </w:tbl>
    <w:p>
      <w:pPr>
        <w:pStyle w:val="Heading2"/>
        <w:spacing w:after="120" w:before="240"/>
      </w:pPr>
      <w:r>
        <w:rPr>
          <w:rFonts w:ascii="Calibri" w:cs="Calibri" w:eastAsia="Calibri" w:hAnsi="Calibri"/>
          <w:b/>
          <w:bCs/>
          <w:color w:val="2E5496"/>
        </w:rPr>
        <w:t xml:space="preserve">4. Arquitectura técnica</w:t>
      </w:r>
    </w:p>
    <w:p>
      <w:pPr>
        <w:spacing w:after="120" w:line="276"/>
        <w:jc w:val="both"/>
      </w:pPr>
      <w:r>
        <w:rPr>
          <w:rFonts w:ascii="Calibri" w:cs="Calibri" w:eastAsia="Calibri" w:hAnsi="Calibri"/>
          <w:sz w:val="22"/>
          <w:szCs w:val="22"/>
        </w:rPr>
        <w:t xml:space="preserve">El stack es moderno y está pensado para el sector público. La aplicación corre sobre </w:t>
      </w:r>
      <w:r>
        <w:rPr>
          <w:rFonts w:ascii="Calibri" w:cs="Calibri" w:eastAsia="Calibri" w:hAnsi="Calibri"/>
          <w:b/>
          <w:bCs/>
          <w:sz w:val="22"/>
          <w:szCs w:val="22"/>
        </w:rPr>
        <w:t xml:space="preserve">Next.js</w:t>
      </w:r>
      <w:r>
        <w:rPr>
          <w:rFonts w:ascii="Calibri" w:cs="Calibri" w:eastAsia="Calibri" w:hAnsi="Calibri"/>
          <w:sz w:val="22"/>
          <w:szCs w:val="22"/>
        </w:rPr>
        <w:t xml:space="preserve">; la persistencia y el motor semántico usan </w:t>
      </w:r>
      <w:r>
        <w:rPr>
          <w:rFonts w:ascii="Calibri" w:cs="Calibri" w:eastAsia="Calibri" w:hAnsi="Calibri"/>
          <w:b/>
          <w:bCs/>
          <w:sz w:val="22"/>
          <w:szCs w:val="22"/>
        </w:rPr>
        <w:t xml:space="preserve">Supabase (PostgreSQL) con la extensión pgvector</w:t>
      </w:r>
      <w:r>
        <w:rPr>
          <w:rFonts w:ascii="Calibri" w:cs="Calibri" w:eastAsia="Calibri" w:hAnsi="Calibri"/>
          <w:sz w:val="22"/>
          <w:szCs w:val="22"/>
        </w:rPr>
        <w:t xml:space="preserve">; los embeddings los produce </w:t>
      </w:r>
      <w:r>
        <w:rPr>
          <w:rFonts w:ascii="Calibri" w:cs="Calibri" w:eastAsia="Calibri" w:hAnsi="Calibri"/>
          <w:b/>
          <w:bCs/>
          <w:sz w:val="22"/>
          <w:szCs w:val="22"/>
        </w:rPr>
        <w:t xml:space="preserve">Voyage AI</w:t>
      </w:r>
      <w:r>
        <w:rPr>
          <w:rFonts w:ascii="Calibri" w:cs="Calibri" w:eastAsia="Calibri" w:hAnsi="Calibri"/>
          <w:sz w:val="22"/>
          <w:szCs w:val="22"/>
        </w:rPr>
        <w:t xml:space="preserve"> y la generación se ancla en </w:t>
      </w:r>
      <w:r>
        <w:rPr>
          <w:rFonts w:ascii="Calibri" w:cs="Calibri" w:eastAsia="Calibri" w:hAnsi="Calibri"/>
          <w:b/>
          <w:bCs/>
          <w:sz w:val="22"/>
          <w:szCs w:val="22"/>
        </w:rPr>
        <w:t xml:space="preserve">Anthropic Claude</w:t>
      </w:r>
      <w:r>
        <w:rPr>
          <w:rFonts w:ascii="Calibri" w:cs="Calibri" w:eastAsia="Calibri" w:hAnsi="Calibri"/>
          <w:sz w:val="22"/>
          <w:szCs w:val="22"/>
        </w:rPr>
        <w:t xml:space="preserve">. El corazón inteligente es una arquitectura </w:t>
      </w:r>
      <w:r>
        <w:rPr>
          <w:rFonts w:ascii="Calibri" w:cs="Calibri" w:eastAsia="Calibri" w:hAnsi="Calibri"/>
          <w:b/>
          <w:bCs/>
          <w:sz w:val="22"/>
          <w:szCs w:val="22"/>
        </w:rPr>
        <w:t xml:space="preserve">RAG (Retrieval-Augmented Generation)</w:t>
      </w:r>
      <w:r>
        <w:rPr>
          <w:rFonts w:ascii="Calibri" w:cs="Calibri" w:eastAsia="Calibri" w:hAnsi="Calibri"/>
          <w:sz w:val="22"/>
          <w:szCs w:val="22"/>
        </w:rPr>
        <w:t xml:space="preserve">: la IA no responde «qué dice la MGA en abstracto», sino «qué dice esta convocatoria para este sector», anclada al corpus normativo curado del DNP, lo que reduce alucinaciones y da trazabilidad.</w:t>
      </w:r>
    </w:p>
    <w:p>
      <w:pPr>
        <w:spacing w:after="120" w:line="276"/>
        <w:jc w:val="both"/>
      </w:pPr>
      <w:r>
        <w:rPr>
          <w:rFonts w:ascii="Calibri" w:cs="Calibri" w:eastAsia="Calibri" w:hAnsi="Calibri"/>
          <w:sz w:val="22"/>
          <w:szCs w:val="22"/>
        </w:rPr>
        <w:t xml:space="preserve">Un punto que el equipo destaca como ventaja de venta ante el sector público es el </w:t>
      </w:r>
      <w:r>
        <w:rPr>
          <w:rFonts w:ascii="Calibri" w:cs="Calibri" w:eastAsia="Calibri" w:hAnsi="Calibri"/>
          <w:b/>
          <w:bCs/>
          <w:sz w:val="22"/>
          <w:szCs w:val="22"/>
        </w:rPr>
        <w:t xml:space="preserve">aislamiento multi-tenant por Row Level Security (RLS) a nivel de base de datos</w:t>
      </w:r>
      <w:r>
        <w:rPr>
          <w:rFonts w:ascii="Calibri" w:cs="Calibri" w:eastAsia="Calibri" w:hAnsi="Calibri"/>
          <w:sz w:val="22"/>
          <w:szCs w:val="22"/>
        </w:rPr>
        <w:t xml:space="preserve">, no a nivel de aplicación. La diferencia importa: aunque la aplicación tuviera un bug, los datos de cada organización siguen aislados en la capa más profunda. Es un requisito implícito de cualquier contratación gubernamental seria que la mayoría de plataformas GovTech no cumple.</w:t>
      </w:r>
    </w:p>
    <w:tbl>
      <w:tblPr>
        <w:tblW w:type="pct" w:w="100%"/>
        <w:tblBorders>
          <w:top w:val="single" w:color="375623" w:sz="2"/>
          <w:left w:val="single" w:color="375623" w:sz="14"/>
          <w:bottom w:val="single" w:color="375623" w:sz="2"/>
          <w:right w:val="single" w:color="375623" w:sz="2"/>
          <w:insideH w:val="none"/>
          <w:insideV w:val="none"/>
        </w:tblBorders>
      </w:tblPr>
      <w:tblGrid>
        <w:gridCol w:w="9360"/>
      </w:tblGrid>
      <w:tr>
        <w:tc>
          <w:tcPr>
            <w:tcW w:type="dxa" w:w="9360"/>
            <w:shd w:fill="E2EFDA" w:val="clear"/>
            <w:tcMar>
              <w:top w:type="dxa" w:w="100"/>
              <w:left w:type="dxa" w:w="160"/>
              <w:bottom w:type="dxa" w:w="100"/>
              <w:right w:type="dxa" w:w="160"/>
            </w:tcMar>
          </w:tcPr>
          <w:p>
            <w:pPr>
              <w:spacing w:after="60"/>
            </w:pPr>
            <w:r>
              <w:rPr>
                <w:rFonts w:ascii="Calibri" w:cs="Calibri" w:eastAsia="Calibri" w:hAnsi="Calibri"/>
                <w:b/>
                <w:bCs/>
                <w:color w:val="375623"/>
                <w:sz w:val="22"/>
                <w:szCs w:val="22"/>
              </w:rPr>
              <w:t xml:space="preserve">Hito de infraestructura (junio 2026)</w:t>
            </w:r>
          </w:p>
          <w:p>
            <w:pPr>
              <w:spacing w:after="40"/>
              <w:jc w:val="both"/>
            </w:pPr>
            <w:r>
              <w:rPr>
                <w:rFonts w:ascii="Calibri" w:cs="Calibri" w:eastAsia="Calibri" w:hAnsi="Calibri"/>
                <w:sz w:val="21"/>
                <w:szCs w:val="21"/>
              </w:rPr>
              <w:t xml:space="preserve">Al retomar el proyecto se detectó que la base de datos productiva (Supabase) estaba en una cuenta sin acceso administrativo. Se resolvió de raíz: se creó un proyecto Supabase propio, se aplicaron las 26 migraciones completas (esquema, RLS, pgvector), se sembraron datos demo y se reapuntó la aplicación (local y producción en Vercel). En paralelo se construyó un pipeline de ingesta real desde datos.gov.co (API Socrata) con tres fuentes oficiales —SECOP II, Proyectos SGR y Medición de Desempeño Municipal— con cron diario. Primera carga real: 1.906 procesos SECOP II, 2.419 proyectos SGR y 2.202 registros de desempeño municipal. Costo mensual estimado: USD 150–200. Reconocimiento a Santiago Jiménez por esta migración.</w:t>
            </w:r>
          </w:p>
        </w:tc>
      </w:tr>
    </w:tbl>
    <w:p>
      <w:pPr>
        <w:pStyle w:val="Heading2"/>
        <w:spacing w:after="120" w:before="240"/>
      </w:pPr>
      <w:r>
        <w:rPr>
          <w:rFonts w:ascii="Calibri" w:cs="Calibri" w:eastAsia="Calibri" w:hAnsi="Calibri"/>
          <w:b/>
          <w:bCs/>
          <w:color w:val="2E5496"/>
        </w:rPr>
        <w:t xml:space="preserve">5. El modelo de negocio</w:t>
      </w:r>
    </w:p>
    <w:p>
      <w:pPr>
        <w:spacing w:after="120" w:line="276"/>
        <w:jc w:val="both"/>
      </w:pPr>
      <w:r>
        <w:rPr>
          <w:rFonts w:ascii="Calibri" w:cs="Calibri" w:eastAsia="Calibri" w:hAnsi="Calibri"/>
          <w:sz w:val="22"/>
          <w:szCs w:val="22"/>
        </w:rPr>
        <w:t xml:space="preserve">El corazón comercial es un </w:t>
      </w:r>
      <w:r>
        <w:rPr>
          <w:rFonts w:ascii="Calibri" w:cs="Calibri" w:eastAsia="Calibri" w:hAnsi="Calibri"/>
          <w:b/>
          <w:bCs/>
          <w:sz w:val="22"/>
          <w:szCs w:val="22"/>
        </w:rPr>
        <w:t xml:space="preserve">fee de éxito del 1 % sobre los recursos efectivamente aprobados</w:t>
      </w:r>
      <w:r>
        <w:rPr>
          <w:rFonts w:ascii="Calibri" w:cs="Calibri" w:eastAsia="Calibri" w:hAnsi="Calibri"/>
          <w:sz w:val="22"/>
          <w:szCs w:val="22"/>
        </w:rPr>
        <w:t xml:space="preserve">, facturado a la entidad convocante. El municipio accede gratis; solo se cobra cuando el proyecto es aprobado. Este esquema resuelve la principal barrera de adopción del sector público territorial —la restricción presupuestal del cliente que más necesita la herramienta— y alinea los incentivos de la plataforma con el resultado real de inversión pública.</w:t>
      </w:r>
    </w:p>
    <w:p>
      <w:pPr>
        <w:spacing w:after="120" w:line="276"/>
        <w:jc w:val="both"/>
      </w:pPr>
      <w:r>
        <w:rPr>
          <w:rFonts w:ascii="Calibri" w:cs="Calibri" w:eastAsia="Calibri" w:hAnsi="Calibri"/>
          <w:sz w:val="22"/>
          <w:szCs w:val="22"/>
        </w:rPr>
        <w:t xml:space="preserve">La aritmética que sostiene el modelo: ticket promedio de proyecto MGA de 1.000 millones de pesos; fee del 1 % = 10 millones por proyecto aprobado. En el año 5 proyectado (1.800 proyectos × 65 % de aprobación ≈ 1.170 aprobados × 10 millones) el ingreso anual ronda los </w:t>
      </w:r>
      <w:r>
        <w:rPr>
          <w:rFonts w:ascii="Calibri" w:cs="Calibri" w:eastAsia="Calibri" w:hAnsi="Calibri"/>
          <w:b/>
          <w:bCs/>
          <w:sz w:val="22"/>
          <w:szCs w:val="22"/>
        </w:rPr>
        <w:t xml:space="preserve">12.000 millones de pesos</w:t>
      </w:r>
      <w:r>
        <w:rPr>
          <w:rFonts w:ascii="Calibri" w:cs="Calibri" w:eastAsia="Calibri" w:hAnsi="Calibri"/>
          <w:sz w:val="22"/>
          <w:szCs w:val="22"/>
        </w:rPr>
        <w:t xml:space="preserve">, con costos marginales bajos (infraestructura cloud + APIs de IA). Como respaldo, se co-crea con Bancolombia un modelo comercial complementario (convenios, cofinanciación de capacitaciones, esquemas mixtos) para cuando el modelo principal encuentre fricción presupuestal.</w:t>
      </w:r>
    </w:p>
    <w:p>
      <w:pPr>
        <w:spacing w:after="120" w:line="276"/>
        <w:jc w:val="both"/>
      </w:pPr>
      <w:r>
        <w:rPr>
          <w:rFonts w:ascii="Calibri" w:cs="Calibri" w:eastAsia="Calibri" w:hAnsi="Calibri"/>
          <w:sz w:val="22"/>
          <w:szCs w:val="22"/>
        </w:rPr>
        <w:t xml:space="preserve">Sobre esto se monta la tesis de las </w:t>
      </w:r>
      <w:r>
        <w:rPr>
          <w:rFonts w:ascii="Calibri" w:cs="Calibri" w:eastAsia="Calibri" w:hAnsi="Calibri"/>
          <w:b/>
          <w:bCs/>
          <w:sz w:val="22"/>
          <w:szCs w:val="22"/>
        </w:rPr>
        <w:t xml:space="preserve">tres capas</w:t>
      </w:r>
      <w:r>
        <w:rPr>
          <w:rFonts w:ascii="Calibri" w:cs="Calibri" w:eastAsia="Calibri" w:hAnsi="Calibri"/>
          <w:sz w:val="22"/>
          <w:szCs w:val="22"/>
        </w:rPr>
        <w:t xml:space="preserve"> consolidada en la página de estrategia del sitio (/modelo): (1) la herramienta —en producción—; (2) los datos oficiales enriquecidos —ya en vivo—; y (3) el indicador propietario IGM-B (Índice de Gestión Municipal), la siguiente capa, que busca convertirse en una señal de capacidad institucional útil para el matchmaking financiero con la banca de gobierno.</w:t>
      </w:r>
    </w:p>
    <w:p>
      <w:pPr>
        <w:pStyle w:val="Heading2"/>
        <w:spacing w:after="120" w:before="240"/>
      </w:pPr>
      <w:r>
        <w:rPr>
          <w:rFonts w:ascii="Calibri" w:cs="Calibri" w:eastAsia="Calibri" w:hAnsi="Calibri"/>
          <w:b/>
          <w:bCs/>
          <w:color w:val="2E5496"/>
        </w:rPr>
        <w:t xml:space="preserve">6. El mercado (TAM / SAM / SOM)</w:t>
      </w:r>
    </w:p>
    <w:p>
      <w:pPr>
        <w:spacing w:after="120" w:line="276"/>
        <w:jc w:val="both"/>
      </w:pPr>
      <w:r>
        <w:rPr>
          <w:rFonts w:ascii="Calibri" w:cs="Calibri" w:eastAsia="Calibri" w:hAnsi="Calibri"/>
          <w:sz w:val="22"/>
          <w:szCs w:val="22"/>
        </w:rPr>
        <w:t xml:space="preserve">El dimensionamiento se construye en tres perspectivas anidadas, con cifras oficiales de corte 2024–2026:</w:t>
      </w:r>
    </w:p>
    <w:tbl>
      <w:tblPr>
        <w:tblW w:type="dxa" w:w="9360"/>
        <w:tblBorders>
          <w:top w:val="single" w:color="AAAAAA" w:sz="2"/>
          <w:left w:val="single" w:color="AAAAAA" w:sz="2"/>
          <w:bottom w:val="single" w:color="AAAAAA" w:sz="2"/>
          <w:right w:val="single" w:color="AAAAAA" w:sz="2"/>
          <w:insideH w:val="single" w:color="CCCCCC" w:sz="1"/>
          <w:insideV w:val="single" w:color="CCCCCC" w:sz="1"/>
        </w:tblBorders>
      </w:tblPr>
      <w:tblGrid>
        <w:gridCol w:w="1400"/>
        <w:gridCol w:w="4560"/>
        <w:gridCol w:w="3400"/>
      </w:tblGrid>
      <w:tr>
        <w:trPr>
          <w:tblHeader/>
        </w:trPr>
        <w:tc>
          <w:tcPr>
            <w:tcW w:type="dxa" w:w="1400"/>
            <w:shd w:fill="2E5496" w:val="clear"/>
            <w:tcMar>
              <w:top w:type="dxa" w:w="60"/>
              <w:left w:type="dxa" w:w="90"/>
              <w:bottom w:type="dxa" w:w="60"/>
              <w:right w:type="dxa" w:w="90"/>
            </w:tcMar>
            <w:vAlign w:val="center"/>
          </w:tcPr>
          <w:p>
            <w:pPr>
              <w:spacing w:after="20" w:line="250"/>
              <w:jc w:val="center"/>
            </w:pPr>
            <w:r>
              <w:rPr>
                <w:rFonts w:ascii="Calibri" w:cs="Calibri" w:eastAsia="Calibri" w:hAnsi="Calibri"/>
                <w:b/>
                <w:bCs/>
                <w:color w:val="FFFFFF"/>
                <w:sz w:val="20"/>
                <w:szCs w:val="20"/>
              </w:rPr>
              <w:t xml:space="preserve">Nivel</w:t>
            </w:r>
          </w:p>
        </w:tc>
        <w:tc>
          <w:tcPr>
            <w:tcW w:type="dxa" w:w="4560"/>
            <w:shd w:fill="2E5496" w:val="clear"/>
            <w:tcMar>
              <w:top w:type="dxa" w:w="60"/>
              <w:left w:type="dxa" w:w="90"/>
              <w:bottom w:type="dxa" w:w="60"/>
              <w:right w:type="dxa" w:w="90"/>
            </w:tcMar>
            <w:vAlign w:val="center"/>
          </w:tcPr>
          <w:p>
            <w:pPr>
              <w:spacing w:after="20" w:line="250"/>
              <w:jc w:val="center"/>
            </w:pPr>
            <w:r>
              <w:rPr>
                <w:rFonts w:ascii="Calibri" w:cs="Calibri" w:eastAsia="Calibri" w:hAnsi="Calibri"/>
                <w:b/>
                <w:bCs/>
                <w:color w:val="FFFFFF"/>
                <w:sz w:val="20"/>
                <w:szCs w:val="20"/>
              </w:rPr>
              <w:t xml:space="preserve">Definición</w:t>
            </w:r>
          </w:p>
        </w:tc>
        <w:tc>
          <w:tcPr>
            <w:tcW w:type="dxa" w:w="3400"/>
            <w:shd w:fill="2E5496" w:val="clear"/>
            <w:tcMar>
              <w:top w:type="dxa" w:w="60"/>
              <w:left w:type="dxa" w:w="90"/>
              <w:bottom w:type="dxa" w:w="60"/>
              <w:right w:type="dxa" w:w="90"/>
            </w:tcMar>
            <w:vAlign w:val="center"/>
          </w:tcPr>
          <w:p>
            <w:pPr>
              <w:spacing w:after="20" w:line="250"/>
              <w:jc w:val="center"/>
            </w:pPr>
            <w:r>
              <w:rPr>
                <w:rFonts w:ascii="Calibri" w:cs="Calibri" w:eastAsia="Calibri" w:hAnsi="Calibri"/>
                <w:b/>
                <w:bCs/>
                <w:color w:val="FFFFFF"/>
                <w:sz w:val="20"/>
                <w:szCs w:val="20"/>
              </w:rPr>
              <w:t xml:space="preserve">Magnitud</w:t>
            </w:r>
          </w:p>
        </w:tc>
      </w:tr>
      <w:tr>
        <w:tc>
          <w:tcPr>
            <w:tcW w:type="dxa" w:w="14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TAM</w:t>
            </w:r>
          </w:p>
        </w:tc>
        <w:tc>
          <w:tcPr>
            <w:tcW w:type="dxa" w:w="456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Inversión pública territorial que pasa por MGA (SGR + SGP + PGN inversión)</w:t>
            </w:r>
          </w:p>
        </w:tc>
        <w:tc>
          <w:tcPr>
            <w:tcW w:type="dxa" w:w="34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Más de 200 billones de pesos al año</w:t>
            </w:r>
          </w:p>
        </w:tc>
      </w:tr>
      <w:tr>
        <w:tc>
          <w:tcPr>
            <w:tcW w:type="dxa" w:w="140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SAM</w:t>
            </w:r>
          </w:p>
        </w:tc>
        <w:tc>
          <w:tcPr>
            <w:tcW w:type="dxa" w:w="456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Proyectos MGA formulables en los ~970 municipios cat. 5 y 6 (87,9 % del total)</w:t>
            </w:r>
          </w:p>
        </w:tc>
        <w:tc>
          <w:tcPr>
            <w:tcW w:type="dxa" w:w="340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4.900 a 9.700 proyectos/año · 2,4 a 29,1 billones de pesos/año en formulación intermediable</w:t>
            </w:r>
          </w:p>
        </w:tc>
      </w:tr>
      <w:tr>
        <w:tc>
          <w:tcPr>
            <w:tcW w:type="dxa" w:w="14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SOM</w:t>
            </w:r>
          </w:p>
        </w:tc>
        <w:tc>
          <w:tcPr>
            <w:tcW w:type="dxa" w:w="456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Captura realista a 5 años bajo el modelo de fee de éxito</w:t>
            </w:r>
          </w:p>
        </w:tc>
        <w:tc>
          <w:tcPr>
            <w:tcW w:type="dxa" w:w="34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Año 5: 180 municipios activos · 1.800 proyectos/año · 1,2 billones en recursos aprobados (penetración 18 %)</w:t>
            </w:r>
          </w:p>
        </w:tc>
      </w:tr>
    </w:tbl>
    <w:p>
      <w:pPr>
        <w:spacing w:after="80"/>
      </w:pPr>
    </w:p>
    <w:p>
      <w:pPr>
        <w:spacing w:after="120" w:line="276"/>
        <w:jc w:val="both"/>
      </w:pPr>
      <w:r>
        <w:rPr>
          <w:rFonts w:ascii="Calibri" w:cs="Calibri" w:eastAsia="Calibri" w:hAnsi="Calibri"/>
          <w:sz w:val="22"/>
          <w:szCs w:val="22"/>
        </w:rPr>
        <w:t xml:space="preserve">El contexto de sector es favorable: el mercado GovTech global se proyecta de 531,6 mil millones de dólares (2023) a 1,99 billones (2032), con un CAGR de 15,8 %; la inversión de capital de riesgo en América Latina alcanzó 4,1 mil millones de dólares en 2025. Y hay una </w:t>
      </w:r>
      <w:r>
        <w:rPr>
          <w:rFonts w:ascii="Calibri" w:cs="Calibri" w:eastAsia="Calibri" w:hAnsi="Calibri"/>
          <w:b/>
          <w:bCs/>
          <w:sz w:val="22"/>
          <w:szCs w:val="22"/>
        </w:rPr>
        <w:t xml:space="preserve">ventana regulatoria</w:t>
      </w:r>
      <w:r>
        <w:rPr>
          <w:rFonts w:ascii="Calibri" w:cs="Calibri" w:eastAsia="Calibri" w:hAnsi="Calibri"/>
          <w:sz w:val="22"/>
          <w:szCs w:val="22"/>
        </w:rPr>
        <w:t xml:space="preserve">: la Reforma del SGP (Acto Legislativo 03 de 2024) eleva la participación territorial en los Ingresos Corrientes de la Nación del 20 % (2024) hacia el 39,5 %–46,52 % en 2034, lo que multiplicará el volumen de proyectos formulables y la presión sobre su calidad. No existe un competidor consolidado en la vertical MGA con IA; la ventana defendible se estima en 24 a 36 meses.</w:t>
      </w:r>
    </w:p>
    <w:p>
      <w:pPr>
        <w:pStyle w:val="Heading2"/>
        <w:spacing w:after="120" w:before="240"/>
      </w:pPr>
      <w:r>
        <w:rPr>
          <w:rFonts w:ascii="Calibri" w:cs="Calibri" w:eastAsia="Calibri" w:hAnsi="Calibri"/>
          <w:b/>
          <w:bCs/>
          <w:color w:val="2E5496"/>
        </w:rPr>
        <w:t xml:space="preserve">7. Tracción y aliados</w:t>
      </w:r>
    </w:p>
    <w:p>
      <w:pPr>
        <w:spacing w:after="120" w:line="276"/>
        <w:jc w:val="both"/>
      </w:pPr>
      <w:r>
        <w:rPr>
          <w:rFonts w:ascii="Calibri" w:cs="Calibri" w:eastAsia="Calibri" w:hAnsi="Calibri"/>
          <w:sz w:val="22"/>
          <w:szCs w:val="22"/>
        </w:rPr>
        <w:t xml:space="preserve">PuBlitec no es una idea: es un prototipo en TRL 6 con tracción documentada. Tres aliados con compromisos por escrito, todos con menos de tres meses de antigüedad al momento del pitch:</w:t>
      </w:r>
    </w:p>
    <w:tbl>
      <w:tblPr>
        <w:tblW w:type="dxa" w:w="936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2600"/>
        <w:gridCol w:w="3360"/>
        <w:gridCol w:w="1200"/>
      </w:tblGrid>
      <w:tr>
        <w:trPr>
          <w:tblHeader/>
        </w:trPr>
        <w:tc>
          <w:tcPr>
            <w:tcW w:type="dxa" w:w="2200"/>
            <w:shd w:fill="2E5496" w:val="clear"/>
            <w:tcMar>
              <w:top w:type="dxa" w:w="60"/>
              <w:left w:type="dxa" w:w="90"/>
              <w:bottom w:type="dxa" w:w="60"/>
              <w:right w:type="dxa" w:w="90"/>
            </w:tcMar>
            <w:vAlign w:val="center"/>
          </w:tcPr>
          <w:p>
            <w:pPr>
              <w:spacing w:after="20" w:line="250"/>
              <w:jc w:val="center"/>
            </w:pPr>
            <w:r>
              <w:rPr>
                <w:rFonts w:ascii="Calibri" w:cs="Calibri" w:eastAsia="Calibri" w:hAnsi="Calibri"/>
                <w:b/>
                <w:bCs/>
                <w:color w:val="FFFFFF"/>
                <w:sz w:val="20"/>
                <w:szCs w:val="20"/>
              </w:rPr>
              <w:t xml:space="preserve">Aliado</w:t>
            </w:r>
          </w:p>
        </w:tc>
        <w:tc>
          <w:tcPr>
            <w:tcW w:type="dxa" w:w="2600"/>
            <w:shd w:fill="2E5496" w:val="clear"/>
            <w:tcMar>
              <w:top w:type="dxa" w:w="60"/>
              <w:left w:type="dxa" w:w="90"/>
              <w:bottom w:type="dxa" w:w="60"/>
              <w:right w:type="dxa" w:w="90"/>
            </w:tcMar>
            <w:vAlign w:val="center"/>
          </w:tcPr>
          <w:p>
            <w:pPr>
              <w:spacing w:after="20" w:line="250"/>
              <w:jc w:val="center"/>
            </w:pPr>
            <w:r>
              <w:rPr>
                <w:rFonts w:ascii="Calibri" w:cs="Calibri" w:eastAsia="Calibri" w:hAnsi="Calibri"/>
                <w:b/>
                <w:bCs/>
                <w:color w:val="FFFFFF"/>
                <w:sz w:val="20"/>
                <w:szCs w:val="20"/>
              </w:rPr>
              <w:t xml:space="preserve">Rol</w:t>
            </w:r>
          </w:p>
        </w:tc>
        <w:tc>
          <w:tcPr>
            <w:tcW w:type="dxa" w:w="3360"/>
            <w:shd w:fill="2E5496" w:val="clear"/>
            <w:tcMar>
              <w:top w:type="dxa" w:w="60"/>
              <w:left w:type="dxa" w:w="90"/>
              <w:bottom w:type="dxa" w:w="60"/>
              <w:right w:type="dxa" w:w="90"/>
            </w:tcMar>
            <w:vAlign w:val="center"/>
          </w:tcPr>
          <w:p>
            <w:pPr>
              <w:spacing w:after="20" w:line="250"/>
              <w:jc w:val="center"/>
            </w:pPr>
            <w:r>
              <w:rPr>
                <w:rFonts w:ascii="Calibri" w:cs="Calibri" w:eastAsia="Calibri" w:hAnsi="Calibri"/>
                <w:b/>
                <w:bCs/>
                <w:color w:val="FFFFFF"/>
                <w:sz w:val="20"/>
                <w:szCs w:val="20"/>
              </w:rPr>
              <w:t xml:space="preserve">Evidencia</w:t>
            </w:r>
          </w:p>
        </w:tc>
        <w:tc>
          <w:tcPr>
            <w:tcW w:type="dxa" w:w="1200"/>
            <w:shd w:fill="2E5496" w:val="clear"/>
            <w:tcMar>
              <w:top w:type="dxa" w:w="60"/>
              <w:left w:type="dxa" w:w="90"/>
              <w:bottom w:type="dxa" w:w="60"/>
              <w:right w:type="dxa" w:w="90"/>
            </w:tcMar>
            <w:vAlign w:val="center"/>
          </w:tcPr>
          <w:p>
            <w:pPr>
              <w:spacing w:after="20" w:line="250"/>
              <w:jc w:val="center"/>
            </w:pPr>
            <w:r>
              <w:rPr>
                <w:rFonts w:ascii="Calibri" w:cs="Calibri" w:eastAsia="Calibri" w:hAnsi="Calibri"/>
                <w:b/>
                <w:bCs/>
                <w:color w:val="FFFFFF"/>
                <w:sz w:val="20"/>
                <w:szCs w:val="20"/>
              </w:rPr>
              <w:t xml:space="preserve">Fecha</w:t>
            </w:r>
          </w:p>
        </w:tc>
      </w:tr>
      <w:tr>
        <w:tc>
          <w:tcPr>
            <w:tcW w:type="dxa" w:w="22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Alcaldía de Marinilla</w:t>
            </w:r>
          </w:p>
        </w:tc>
        <w:tc>
          <w:tcPr>
            <w:tcW w:type="dxa" w:w="26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Municipio usuario piloto</w:t>
            </w:r>
          </w:p>
        </w:tc>
        <w:tc>
          <w:tcPr>
            <w:tcW w:type="dxa" w:w="336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Carta de colaboración firmada</w:t>
            </w:r>
          </w:p>
        </w:tc>
        <w:tc>
          <w:tcPr>
            <w:tcW w:type="dxa" w:w="12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6 mar. 2026</w:t>
            </w:r>
          </w:p>
        </w:tc>
      </w:tr>
      <w:tr>
        <w:tc>
          <w:tcPr>
            <w:tcW w:type="dxa" w:w="220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Bancolombia</w:t>
            </w:r>
          </w:p>
        </w:tc>
        <w:tc>
          <w:tcPr>
            <w:tcW w:type="dxa" w:w="260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Aliado financiero — co-creación activa</w:t>
            </w:r>
          </w:p>
        </w:tc>
        <w:tc>
          <w:tcPr>
            <w:tcW w:type="dxa" w:w="336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Carta formal + memorando técnico (3 vectores de articulación)</w:t>
            </w:r>
          </w:p>
        </w:tc>
        <w:tc>
          <w:tcPr>
            <w:tcW w:type="dxa" w:w="120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16 mar. y 22 abr. 2026</w:t>
            </w:r>
          </w:p>
        </w:tc>
      </w:tr>
      <w:tr>
        <w:tc>
          <w:tcPr>
            <w:tcW w:type="dxa" w:w="22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Gobernación de Antioquia</w:t>
            </w:r>
          </w:p>
        </w:tc>
        <w:tc>
          <w:tcPr>
            <w:tcW w:type="dxa" w:w="26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Entidad convocante del piloto</w:t>
            </w:r>
          </w:p>
        </w:tc>
        <w:tc>
          <w:tcPr>
            <w:tcW w:type="dxa" w:w="336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Carta en formalización institucional + actas</w:t>
            </w:r>
          </w:p>
        </w:tc>
        <w:tc>
          <w:tcPr>
            <w:tcW w:type="dxa" w:w="12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mayo 2026</w:t>
            </w:r>
          </w:p>
        </w:tc>
      </w:tr>
    </w:tbl>
    <w:p>
      <w:pPr>
        <w:spacing w:after="80"/>
      </w:pPr>
    </w:p>
    <w:p>
      <w:pPr>
        <w:spacing w:after="120" w:line="276"/>
        <w:jc w:val="both"/>
      </w:pPr>
      <w:r>
        <w:rPr>
          <w:rFonts w:ascii="Calibri" w:cs="Calibri" w:eastAsia="Calibri" w:hAnsi="Calibri"/>
          <w:sz w:val="22"/>
          <w:szCs w:val="22"/>
        </w:rPr>
        <w:t xml:space="preserve">Detrás hay un activo que ningún competidor entrante replica en el corto plazo: </w:t>
      </w:r>
      <w:r>
        <w:rPr>
          <w:rFonts w:ascii="Calibri" w:cs="Calibri" w:eastAsia="Calibri" w:hAnsi="Calibri"/>
          <w:b/>
          <w:bCs/>
          <w:sz w:val="22"/>
          <w:szCs w:val="22"/>
        </w:rPr>
        <w:t xml:space="preserve">más de 8.000 millones de pesos en contratos previos de transferencia metodológica al sector público</w:t>
      </w:r>
      <w:r>
        <w:rPr>
          <w:rFonts w:ascii="Calibri" w:cs="Calibri" w:eastAsia="Calibri" w:hAnsi="Calibri"/>
          <w:sz w:val="22"/>
          <w:szCs w:val="22"/>
        </w:rPr>
        <w:t xml:space="preserve"> (Cívicco–Ocensa con 49 municipios, MADPP–Rionegro por 1.100 millones, Asointermedias, Asocapitales, EPM). Ese conocimiento está codificado en los prompts y el corpus RAG del producto. El grupo Gobierno, Políticas y Desarrollo es categoría A1 de MinCiencias.</w:t>
      </w:r>
    </w:p>
    <w:p>
      <w:r>
        <w:br w:type="page"/>
      </w:r>
    </w:p>
    <w:p>
      <w:pPr>
        <w:pStyle w:val="Heading1"/>
        <w:spacing w:after="160" w:before="320"/>
      </w:pPr>
      <w:r>
        <w:rPr>
          <w:rFonts w:ascii="Calibri" w:cs="Calibri" w:eastAsia="Calibri" w:hAnsi="Calibri"/>
          <w:b/>
          <w:bCs/>
          <w:color w:val="1F3864"/>
        </w:rPr>
        <w:t xml:space="preserve">Parte II. Historia y modificaciones: chat por chat</w:t>
      </w:r>
    </w:p>
    <w:p>
      <w:pPr>
        <w:spacing w:after="120" w:line="276"/>
        <w:jc w:val="both"/>
      </w:pPr>
      <w:r>
        <w:rPr>
          <w:rFonts w:ascii="Calibri" w:cs="Calibri" w:eastAsia="Calibri" w:hAnsi="Calibri"/>
          <w:sz w:val="22"/>
          <w:szCs w:val="22"/>
        </w:rPr>
        <w:t xml:space="preserve">Esta sección reconstruye, en orden temático, las cinco conversaciones de trabajo que produjeron el material de PuBlitec. Dos de ellas (chats 1 y 3) corresponden a la reconstrucción del anexo de la convocatoria en abril; las otras tres (chats 2, 4 y 5) a la revisión del producto desplegado en junio. Cada una dejó decisiones y modificaciones concretas que conviene tener registradas.</w:t>
      </w:r>
    </w:p>
    <w:p>
      <w:pPr>
        <w:pStyle w:val="Heading2"/>
        <w:spacing w:after="120" w:before="240"/>
      </w:pPr>
      <w:r>
        <w:rPr>
          <w:rFonts w:ascii="Calibri" w:cs="Calibri" w:eastAsia="Calibri" w:hAnsi="Calibri"/>
          <w:b/>
          <w:bCs/>
          <w:color w:val="2E5496"/>
        </w:rPr>
        <w:t xml:space="preserve">Chat 1 — «PUBLITEC»: la reconstrucción del Anexo 02 (27 abr.)</w:t>
      </w:r>
    </w:p>
    <w:p>
      <w:pPr>
        <w:spacing w:after="120" w:line="276"/>
        <w:jc w:val="both"/>
      </w:pPr>
      <w:r>
        <w:rPr>
          <w:rFonts w:ascii="Calibri" w:cs="Calibri" w:eastAsia="Calibri" w:hAnsi="Calibri"/>
          <w:sz w:val="22"/>
          <w:szCs w:val="22"/>
        </w:rPr>
        <w:t xml:space="preserve">Punto de partida: el equipo de Transferencia de EAFIT hizo una pre-validación de la propuesta y devolvió recomendaciones. La más importante fue </w:t>
      </w:r>
      <w:r>
        <w:rPr>
          <w:rFonts w:ascii="Calibri" w:cs="Calibri" w:eastAsia="Calibri" w:hAnsi="Calibri"/>
          <w:b/>
          <w:bCs/>
          <w:sz w:val="22"/>
          <w:szCs w:val="22"/>
        </w:rPr>
        <w:t xml:space="preserve">migrar de la Categoría C a la Categoría B (Alistamiento Comercial)</w:t>
      </w:r>
      <w:r>
        <w:rPr>
          <w:rFonts w:ascii="Calibri" w:cs="Calibri" w:eastAsia="Calibri" w:hAnsi="Calibri"/>
          <w:sz w:val="22"/>
          <w:szCs w:val="22"/>
        </w:rPr>
        <w:t xml:space="preserve">, porque el proyecto ya tenía prototipo funcional y enfoque en pilotos. Eso cambia el centro de gravedad del documento: deja de ser sobre «desarrollar un producto de conocimiento» y pasa a ser sobre «alistar comercialmente una tecnología».</w:t>
      </w:r>
    </w:p>
    <w:p>
      <w:pPr>
        <w:spacing w:after="120" w:line="276"/>
        <w:jc w:val="both"/>
      </w:pPr>
      <w:r>
        <w:rPr>
          <w:rFonts w:ascii="Calibri" w:cs="Calibri" w:eastAsia="Calibri" w:hAnsi="Calibri"/>
          <w:sz w:val="22"/>
          <w:szCs w:val="22"/>
        </w:rPr>
        <w:t xml:space="preserve">El equipo respondió con un documento de compromisos («promesas.docx») y este chat ejecutó esos compromisos, reescribiendo el Anexo 02 por etapas. Las decisiones estructurales que se tomaron:</w:t>
      </w:r>
    </w:p>
    <w:p>
      <w:pPr>
        <w:pStyle w:val="ListParagraph"/>
        <w:numPr>
          <w:ilvl w:val="0"/>
          <w:numId w:val="2"/>
        </w:numPr>
        <w:spacing w:after="80" w:line="276"/>
        <w:jc w:val="both"/>
      </w:pPr>
      <w:r>
        <w:rPr>
          <w:rFonts w:ascii="Calibri" w:cs="Calibri" w:eastAsia="Calibri" w:hAnsi="Calibri"/>
          <w:b/>
          <w:bCs/>
          <w:sz w:val="22"/>
          <w:szCs w:val="22"/>
        </w:rPr>
        <w:t xml:space="preserve">Tres niveles de problema a resolver a la vez: </w:t>
      </w:r>
      <w:r>
        <w:rPr>
          <w:rFonts w:ascii="Calibri" w:cs="Calibri" w:eastAsia="Calibri" w:hAnsi="Calibri"/>
          <w:sz w:val="22"/>
          <w:szCs w:val="22"/>
        </w:rPr>
        <w:t xml:space="preserve">categórico (C→B), de evidencia (faltaban anexos, video demo, rol del aliado) y persuasivo (los evaluadores son perfiles de inversión e industria, no solo técnicos).</w:t>
      </w:r>
    </w:p>
    <w:p>
      <w:pPr>
        <w:pStyle w:val="ListParagraph"/>
        <w:numPr>
          <w:ilvl w:val="0"/>
          <w:numId w:val="2"/>
        </w:numPr>
        <w:spacing w:after="80" w:line="276"/>
        <w:jc w:val="both"/>
      </w:pPr>
      <w:r>
        <w:rPr>
          <w:rFonts w:ascii="Calibri" w:cs="Calibri" w:eastAsia="Calibri" w:hAnsi="Calibri"/>
          <w:b/>
          <w:bCs/>
          <w:sz w:val="22"/>
          <w:szCs w:val="22"/>
        </w:rPr>
        <w:t xml:space="preserve">Migración a Categoría B</w:t>
      </w:r>
      <w:r>
        <w:rPr>
          <w:rFonts w:ascii="Calibri" w:cs="Calibri" w:eastAsia="Calibri" w:hAnsi="Calibri"/>
          <w:sz w:val="22"/>
          <w:szCs w:val="22"/>
        </w:rPr>
        <w:t xml:space="preserve"> con TRL 6 → 7 al cierre y CRL 5 → 6, ceñido a lo prometido a Transferencia.</w:t>
      </w:r>
    </w:p>
    <w:p>
      <w:pPr>
        <w:pStyle w:val="ListParagraph"/>
        <w:numPr>
          <w:ilvl w:val="0"/>
          <w:numId w:val="2"/>
        </w:numPr>
        <w:spacing w:after="80" w:line="276"/>
        <w:jc w:val="both"/>
      </w:pPr>
      <w:r>
        <w:rPr>
          <w:rFonts w:ascii="Calibri" w:cs="Calibri" w:eastAsia="Calibri" w:hAnsi="Calibri"/>
          <w:b/>
          <w:bCs/>
          <w:sz w:val="22"/>
          <w:szCs w:val="22"/>
        </w:rPr>
        <w:t xml:space="preserve">Inyección de evidencia inline: </w:t>
      </w:r>
      <w:r>
        <w:rPr>
          <w:rFonts w:ascii="Calibri" w:cs="Calibri" w:eastAsia="Calibri" w:hAnsi="Calibri"/>
          <w:sz w:val="22"/>
          <w:szCs w:val="22"/>
        </w:rPr>
        <w:t xml:space="preserve">TAM/SAM/SOM con citas APA, tabla comparativa de competencia, caso de uso narrativo («un día en la vida del funcionario municipal», Marcela en Sopetrán), y sección «por qué ahora».</w:t>
      </w:r>
    </w:p>
    <w:p>
      <w:pPr>
        <w:pStyle w:val="ListParagraph"/>
        <w:numPr>
          <w:ilvl w:val="0"/>
          <w:numId w:val="2"/>
        </w:numPr>
        <w:spacing w:after="80" w:line="276"/>
        <w:jc w:val="both"/>
      </w:pPr>
      <w:r>
        <w:rPr>
          <w:rFonts w:ascii="Calibri" w:cs="Calibri" w:eastAsia="Calibri" w:hAnsi="Calibri"/>
          <w:b/>
          <w:bCs/>
          <w:sz w:val="22"/>
          <w:szCs w:val="22"/>
        </w:rPr>
        <w:t xml:space="preserve">Antecedentes reforzados: </w:t>
      </w:r>
      <w:r>
        <w:rPr>
          <w:rFonts w:ascii="Calibri" w:cs="Calibri" w:eastAsia="Calibri" w:hAnsi="Calibri"/>
          <w:sz w:val="22"/>
          <w:szCs w:val="22"/>
        </w:rPr>
        <w:t xml:space="preserve">Cívicco y MADPP como prueba de que el grupo sabe transferir conocimiento (&gt;8.000 millones), y los 50 millones de inversión previa en el prototipo.</w:t>
      </w:r>
    </w:p>
    <w:p>
      <w:pPr>
        <w:pStyle w:val="ListParagraph"/>
        <w:numPr>
          <w:ilvl w:val="0"/>
          <w:numId w:val="2"/>
        </w:numPr>
        <w:spacing w:after="80" w:line="276"/>
        <w:jc w:val="both"/>
      </w:pPr>
      <w:r>
        <w:rPr>
          <w:rFonts w:ascii="Calibri" w:cs="Calibri" w:eastAsia="Calibri" w:hAnsi="Calibri"/>
          <w:b/>
          <w:bCs/>
          <w:sz w:val="22"/>
          <w:szCs w:val="22"/>
        </w:rPr>
        <w:t xml:space="preserve">Placeholders de citas de clientes: </w:t>
      </w:r>
      <w:r>
        <w:rPr>
          <w:rFonts w:ascii="Calibri" w:cs="Calibri" w:eastAsia="Calibri" w:hAnsi="Calibri"/>
          <w:sz w:val="22"/>
          <w:szCs w:val="22"/>
        </w:rPr>
        <w:t xml:space="preserve">cinco espacios marcados (CITA-1 a CITA-5) distribuidos estratégicamente para que las cartas reales, cuando lleguen, refuercen justo los puntos donde el evaluador dudaría.</w:t>
      </w:r>
    </w:p>
    <w:tbl>
      <w:tblPr>
        <w:tblW w:type="pct" w:w="100%"/>
        <w:tblBorders>
          <w:top w:val="single" w:color="1F3864" w:sz="2"/>
          <w:left w:val="single" w:color="1F3864" w:sz="14"/>
          <w:bottom w:val="single" w:color="1F3864" w:sz="2"/>
          <w:right w:val="single" w:color="1F3864" w:sz="2"/>
          <w:insideH w:val="none"/>
          <w:insideV w:val="none"/>
        </w:tblBorders>
      </w:tblPr>
      <w:tblGrid>
        <w:gridCol w:w="9360"/>
      </w:tblGrid>
      <w:tr>
        <w:tc>
          <w:tcPr>
            <w:tcW w:type="dxa" w:w="9360"/>
            <w:shd w:fill="D9E2F3" w:val="clear"/>
            <w:tcMar>
              <w:top w:type="dxa" w:w="100"/>
              <w:left w:type="dxa" w:w="160"/>
              <w:bottom w:type="dxa" w:w="100"/>
              <w:right w:type="dxa" w:w="160"/>
            </w:tcMar>
          </w:tcPr>
          <w:p>
            <w:pPr>
              <w:spacing w:after="60"/>
            </w:pPr>
            <w:r>
              <w:rPr>
                <w:rFonts w:ascii="Calibri" w:cs="Calibri" w:eastAsia="Calibri" w:hAnsi="Calibri"/>
                <w:b/>
                <w:bCs/>
                <w:color w:val="1F3864"/>
                <w:sz w:val="22"/>
                <w:szCs w:val="22"/>
              </w:rPr>
              <w:t xml:space="preserve">Modificación de fondo</w:t>
            </w:r>
          </w:p>
          <w:p>
            <w:pPr>
              <w:spacing w:after="40"/>
              <w:jc w:val="both"/>
            </w:pPr>
            <w:r>
              <w:rPr>
                <w:rFonts w:ascii="Calibri" w:cs="Calibri" w:eastAsia="Calibri" w:hAnsi="Calibri"/>
                <w:sz w:val="21"/>
                <w:szCs w:val="21"/>
              </w:rPr>
              <w:t xml:space="preserve">El documento pasó de ser académicamente sólido pero «comercialmente tibio» a una narrativa de convicción organizada alrededor de tres preguntas: ¿por qué esto? ¿por qué ustedes? ¿por qué ahora? Ese giro es la modificación central de todo el trabajo del anexo.</w:t>
            </w:r>
          </w:p>
        </w:tc>
      </w:tr>
    </w:tbl>
    <w:p>
      <w:pPr>
        <w:pStyle w:val="Heading2"/>
        <w:spacing w:after="120" w:before="240"/>
      </w:pPr>
      <w:r>
        <w:rPr>
          <w:rFonts w:ascii="Calibri" w:cs="Calibri" w:eastAsia="Calibri" w:hAnsi="Calibri"/>
          <w:b/>
          <w:bCs/>
          <w:color w:val="2E5496"/>
        </w:rPr>
        <w:t xml:space="preserve">Chat 3 — «Publitec nuevo y bloque»: la estrategia de puntaje (29 abr.)</w:t>
      </w:r>
    </w:p>
    <w:p>
      <w:pPr>
        <w:spacing w:after="120" w:line="276"/>
        <w:jc w:val="both"/>
      </w:pPr>
      <w:r>
        <w:rPr>
          <w:rFonts w:ascii="Calibri" w:cs="Calibri" w:eastAsia="Calibri" w:hAnsi="Calibri"/>
          <w:sz w:val="22"/>
          <w:szCs w:val="22"/>
        </w:rPr>
        <w:t xml:space="preserve">Este chat es la continuación técnica del anterior y contiene el análisis más fino de toda la reconstrucción: el mapeo de la propuesta contra la rúbrica oficial de Categoría B (125 puntos totales). Aquí aparecieron dos hallazgos que cambiaron la estrategia.</w:t>
      </w:r>
    </w:p>
    <w:p>
      <w:pPr>
        <w:pStyle w:val="Heading3"/>
        <w:spacing w:after="100" w:before="180"/>
      </w:pPr>
      <w:r>
        <w:rPr>
          <w:rFonts w:ascii="Calibri" w:cs="Calibri" w:eastAsia="Calibri" w:hAnsi="Calibri"/>
          <w:b/>
          <w:bCs/>
          <w:i/>
          <w:iCs/>
          <w:color w:val="2E5496"/>
        </w:rPr>
        <w:t xml:space="preserve">Hallazgo 1 — La anomalía del CRL: el máximo puntaje es CRL 5, no CRL 6</w:t>
      </w:r>
    </w:p>
    <w:p>
      <w:pPr>
        <w:spacing w:after="120" w:line="276"/>
        <w:jc w:val="both"/>
      </w:pPr>
      <w:r>
        <w:rPr>
          <w:rFonts w:ascii="Calibri" w:cs="Calibri" w:eastAsia="Calibri" w:hAnsi="Calibri"/>
          <w:sz w:val="22"/>
          <w:szCs w:val="22"/>
        </w:rPr>
        <w:t xml:space="preserve">Contraintuitivamente, la rúbrica otorga 20 puntos (el máximo) por declarar CRL 5 con evidencia robusta de más de una organización y cartas de menos de 3 meses, pero solo 15 puntos por CRL 6. La decisión: posicionar CRL 5 como estado actual y de cierre del proyecto, y presentar el tránsito a CRL 6 como horizonte, sin renunciar a la narrativa de pilotos. El plan de transición a CRL 6 no se pierde: alimenta los criterios «Plan de actividades e hitos» y «Proyección y sostenibilidad».</w:t>
      </w:r>
    </w:p>
    <w:p>
      <w:pPr>
        <w:pStyle w:val="Heading3"/>
        <w:spacing w:after="100" w:before="180"/>
      </w:pPr>
      <w:r>
        <w:rPr>
          <w:rFonts w:ascii="Calibri" w:cs="Calibri" w:eastAsia="Calibri" w:hAnsi="Calibri"/>
          <w:b/>
          <w:bCs/>
          <w:i/>
          <w:iCs/>
          <w:color w:val="2E5496"/>
        </w:rPr>
        <w:t xml:space="preserve">Hallazgo 2 — El umbral de TRL es 7, y el prototipo es TRL 6</w:t>
      </w:r>
    </w:p>
    <w:p>
      <w:pPr>
        <w:spacing w:after="120" w:line="276"/>
        <w:jc w:val="both"/>
      </w:pPr>
      <w:r>
        <w:rPr>
          <w:rFonts w:ascii="Calibri" w:cs="Calibri" w:eastAsia="Calibri" w:hAnsi="Calibri"/>
          <w:sz w:val="22"/>
          <w:szCs w:val="22"/>
        </w:rPr>
        <w:t xml:space="preserve">Declarar TRL 6 puro incumple el umbral mínimo (0 puntos). La salida: declarar que el módulo MGA alcanza TRL 7 durante la operación del piloto en convocatoria real de la Gobernación con usuarios externos autónomos.</w:t>
      </w:r>
    </w:p>
    <w:tbl>
      <w:tblPr>
        <w:tblW w:type="pct" w:w="100%"/>
        <w:tblBorders>
          <w:top w:val="single" w:color="7F6000" w:sz="2"/>
          <w:left w:val="single" w:color="7F6000" w:sz="14"/>
          <w:bottom w:val="single" w:color="7F6000" w:sz="2"/>
          <w:right w:val="single" w:color="7F6000" w:sz="2"/>
          <w:insideH w:val="none"/>
          <w:insideV w:val="none"/>
        </w:tblBorders>
      </w:tblPr>
      <w:tblGrid>
        <w:gridCol w:w="9360"/>
      </w:tblGrid>
      <w:tr>
        <w:tc>
          <w:tcPr>
            <w:tcW w:type="dxa" w:w="9360"/>
            <w:shd w:fill="FBF3D5" w:val="clear"/>
            <w:tcMar>
              <w:top w:type="dxa" w:w="100"/>
              <w:left w:type="dxa" w:w="160"/>
              <w:bottom w:type="dxa" w:w="100"/>
              <w:right w:type="dxa" w:w="160"/>
            </w:tcMar>
          </w:tcPr>
          <w:p>
            <w:pPr>
              <w:spacing w:after="60"/>
            </w:pPr>
            <w:r>
              <w:rPr>
                <w:rFonts w:ascii="Calibri" w:cs="Calibri" w:eastAsia="Calibri" w:hAnsi="Calibri"/>
                <w:b/>
                <w:bCs/>
                <w:color w:val="7F6000"/>
                <w:sz w:val="22"/>
                <w:szCs w:val="22"/>
              </w:rPr>
              <w:t xml:space="preserve">La corrección del rumbo (decisión de Mára)</w:t>
            </w:r>
          </w:p>
          <w:p>
            <w:pPr>
              <w:spacing w:after="40"/>
              <w:jc w:val="both"/>
            </w:pPr>
            <w:r>
              <w:rPr>
                <w:rFonts w:ascii="Calibri" w:cs="Calibri" w:eastAsia="Calibri" w:hAnsi="Calibri"/>
                <w:sz w:val="21"/>
                <w:szCs w:val="21"/>
              </w:rPr>
              <w:t xml:space="preserve">Ante la tentación de declarar TRL 7 al inicio y TRL 8 al cierre para maximizar puntaje, la instrucción fue clara: ceñirse a lo prometido en «promesas.docx». El marco se realineó a TRL 6 → 7 y CRL 5 con plan a CRL 6. Esto cuesta 5 puntos en TRL, pero preserva la coherencia con Transferencia, que importa más. El techo realista honesto quedó en 115–120 de 125: zona de adjudicación segura.</w:t>
            </w:r>
          </w:p>
        </w:tc>
      </w:tr>
    </w:tbl>
    <w:p>
      <w:pPr>
        <w:spacing w:after="120" w:line="276"/>
        <w:jc w:val="both"/>
      </w:pPr>
      <w:r>
        <w:rPr>
          <w:rFonts w:ascii="Calibri" w:cs="Calibri" w:eastAsia="Calibri" w:hAnsi="Calibri"/>
          <w:sz w:val="22"/>
          <w:szCs w:val="22"/>
        </w:rPr>
        <w:t xml:space="preserve">Con ese marco se redactaron las Etapas 3 y 4 del anexo: el CRL 5 robustecido con tabla de evidencias inline y Lean Canvas; el plan de transición a CRL 6 con seis hitos verificables (H1 a H6, de M3 a M12); la ruta TRL 6 → 7; las manifestaciones de interés en tres anillos (convocante + usuarios / Bancolombia / BID Lab); el alcance reorientado a alistamiento comercial; y las actividades organizadas en cinco paquetes de trabajo con indicadores cuantitativos por actividad.</w:t>
      </w:r>
    </w:p>
    <w:p>
      <w:pPr>
        <w:pStyle w:val="Heading2"/>
        <w:spacing w:after="120" w:before="240"/>
      </w:pPr>
      <w:r>
        <w:rPr>
          <w:rFonts w:ascii="Calibri" w:cs="Calibri" w:eastAsia="Calibri" w:hAnsi="Calibri"/>
          <w:b/>
          <w:bCs/>
          <w:color w:val="2E5496"/>
        </w:rPr>
        <w:t xml:space="preserve">Chat 2 — «Integración»: el feedback consolidado del producto (11 jun.)</w:t>
      </w:r>
    </w:p>
    <w:p>
      <w:pPr>
        <w:spacing w:after="120" w:line="276"/>
        <w:jc w:val="both"/>
      </w:pPr>
      <w:r>
        <w:rPr>
          <w:rFonts w:ascii="Calibri" w:cs="Calibri" w:eastAsia="Calibri" w:hAnsi="Calibri"/>
          <w:sz w:val="22"/>
          <w:szCs w:val="22"/>
        </w:rPr>
        <w:t xml:space="preserve">Aquí el trabajo cambia de naturaleza: ya no es el anexo, sino la revisión del sitio desplegado. Este chat consolidó los hallazgos de tres lotes de pruebas (A, B y C) en un solo documento de feedback para el equipo, y produjo el correo de acompañamiento. Fue un trabajo intensamente editorial, con muchas iteraciones de estilo pedidas por Mára:</w:t>
      </w:r>
    </w:p>
    <w:p>
      <w:pPr>
        <w:pStyle w:val="ListParagraph"/>
        <w:numPr>
          <w:ilvl w:val="0"/>
          <w:numId w:val="2"/>
        </w:numPr>
        <w:spacing w:after="80" w:line="276"/>
        <w:jc w:val="both"/>
      </w:pPr>
      <w:r>
        <w:rPr>
          <w:rFonts w:ascii="Calibri" w:cs="Calibri" w:eastAsia="Calibri" w:hAnsi="Calibri"/>
          <w:b/>
          <w:bCs/>
          <w:sz w:val="22"/>
          <w:szCs w:val="22"/>
        </w:rPr>
        <w:t xml:space="preserve">Estructura del consolidado: </w:t>
      </w:r>
      <w:r>
        <w:rPr>
          <w:rFonts w:ascii="Calibri" w:cs="Calibri" w:eastAsia="Calibri" w:hAnsi="Calibri"/>
          <w:sz w:val="22"/>
          <w:szCs w:val="22"/>
        </w:rPr>
        <w:t xml:space="preserve">resumen ejecutivo (de dónde veníamos → dónde estamos), lo que ya funciona bien por módulo, checklist de pulido de horas, afinamientos de cifras para presentaciones, los bloqueos del tramo final, decisiones de doctrina para conversar en equipo, y una ruta de pulido metodológico frente a la MGA.</w:t>
      </w:r>
    </w:p>
    <w:p>
      <w:pPr>
        <w:pStyle w:val="ListParagraph"/>
        <w:numPr>
          <w:ilvl w:val="0"/>
          <w:numId w:val="2"/>
        </w:numPr>
        <w:spacing w:after="80" w:line="276"/>
        <w:jc w:val="both"/>
      </w:pPr>
      <w:r>
        <w:rPr>
          <w:rFonts w:ascii="Calibri" w:cs="Calibri" w:eastAsia="Calibri" w:hAnsi="Calibri"/>
          <w:b/>
          <w:bCs/>
          <w:sz w:val="22"/>
          <w:szCs w:val="22"/>
        </w:rPr>
        <w:t xml:space="preserve">Se quitó la metáfora del «cruce del charco»</w:t>
      </w:r>
      <w:r>
        <w:rPr>
          <w:rFonts w:ascii="Calibri" w:cs="Calibri" w:eastAsia="Calibri" w:hAnsi="Calibri"/>
          <w:sz w:val="22"/>
          <w:szCs w:val="22"/>
        </w:rPr>
        <w:t xml:space="preserve"> en favor de términos ejecutivos («punto de partida y estado actual»).</w:t>
      </w:r>
    </w:p>
    <w:p>
      <w:pPr>
        <w:pStyle w:val="ListParagraph"/>
        <w:numPr>
          <w:ilvl w:val="0"/>
          <w:numId w:val="2"/>
        </w:numPr>
        <w:spacing w:after="80" w:line="276"/>
        <w:jc w:val="both"/>
      </w:pPr>
      <w:r>
        <w:rPr>
          <w:rFonts w:ascii="Calibri" w:cs="Calibri" w:eastAsia="Calibri" w:hAnsi="Calibri"/>
          <w:b/>
          <w:bCs/>
          <w:sz w:val="22"/>
          <w:szCs w:val="22"/>
        </w:rPr>
        <w:t xml:space="preserve">Se eliminó el término «tubería»</w:t>
      </w:r>
      <w:r>
        <w:rPr>
          <w:rFonts w:ascii="Calibri" w:cs="Calibri" w:eastAsia="Calibri" w:hAnsi="Calibri"/>
          <w:sz w:val="22"/>
          <w:szCs w:val="22"/>
        </w:rPr>
        <w:t xml:space="preserve"> (pasó a «los bloqueos del tramo final») y los símbolos § y los guiones largos, «para que no parezca hecho con IA».</w:t>
      </w:r>
    </w:p>
    <w:p>
      <w:pPr>
        <w:pStyle w:val="ListParagraph"/>
        <w:numPr>
          <w:ilvl w:val="0"/>
          <w:numId w:val="2"/>
        </w:numPr>
        <w:spacing w:after="80" w:line="276"/>
        <w:jc w:val="both"/>
      </w:pPr>
      <w:r>
        <w:rPr>
          <w:rFonts w:ascii="Calibri" w:cs="Calibri" w:eastAsia="Calibri" w:hAnsi="Calibri"/>
          <w:b/>
          <w:bCs/>
          <w:sz w:val="22"/>
          <w:szCs w:val="22"/>
        </w:rPr>
        <w:t xml:space="preserve">Se simplificó la codificación heredada (R/A/V/E/C)</w:t>
      </w:r>
      <w:r>
        <w:rPr>
          <w:rFonts w:ascii="Calibri" w:cs="Calibri" w:eastAsia="Calibri" w:hAnsi="Calibri"/>
          <w:sz w:val="22"/>
          <w:szCs w:val="22"/>
        </w:rPr>
        <w:t xml:space="preserve">: los códigos solo se conservaron donde alguien va a actuar sobre ellos (tabla de bloqueos y anexo), y se explicó la jerga en su primera aparición.</w:t>
      </w:r>
    </w:p>
    <w:p>
      <w:pPr>
        <w:pStyle w:val="ListParagraph"/>
        <w:numPr>
          <w:ilvl w:val="0"/>
          <w:numId w:val="2"/>
        </w:numPr>
        <w:spacing w:after="80" w:line="276"/>
        <w:jc w:val="both"/>
      </w:pPr>
      <w:r>
        <w:rPr>
          <w:rFonts w:ascii="Calibri" w:cs="Calibri" w:eastAsia="Calibri" w:hAnsi="Calibri"/>
          <w:b/>
          <w:bCs/>
          <w:sz w:val="22"/>
          <w:szCs w:val="22"/>
        </w:rPr>
        <w:t xml:space="preserve">Se añadió un apartado nuevo sobre la conversación con la MGA</w:t>
      </w:r>
      <w:r>
        <w:rPr>
          <w:rFonts w:ascii="Calibri" w:cs="Calibri" w:eastAsia="Calibri" w:hAnsi="Calibri"/>
          <w:sz w:val="22"/>
          <w:szCs w:val="22"/>
        </w:rPr>
        <w:t xml:space="preserve">: mapa de correspondencia entre las etapas de la guía sintética y el estado del wizard, el activo que ya se tiene, y por dónde empezar el pulido.</w:t>
      </w:r>
    </w:p>
    <w:p>
      <w:pPr>
        <w:spacing w:after="120" w:line="276"/>
        <w:jc w:val="both"/>
      </w:pPr>
      <w:r>
        <w:rPr>
          <w:rFonts w:ascii="Calibri" w:cs="Calibri" w:eastAsia="Calibri" w:hAnsi="Calibri"/>
          <w:sz w:val="22"/>
          <w:szCs w:val="22"/>
        </w:rPr>
        <w:t xml:space="preserve">El correo final para el equipo («Hola Santiagos») encuadró el documento como </w:t>
      </w:r>
      <w:r>
        <w:rPr>
          <w:rFonts w:ascii="Calibri" w:cs="Calibri" w:eastAsia="Calibri" w:hAnsi="Calibri"/>
          <w:b/>
          <w:bCs/>
          <w:sz w:val="22"/>
          <w:szCs w:val="22"/>
        </w:rPr>
        <w:t xml:space="preserve">sugerencias de mejora ordenadas por medida de esfuerzo</w:t>
      </w:r>
      <w:r>
        <w:rPr>
          <w:rFonts w:ascii="Calibri" w:cs="Calibri" w:eastAsia="Calibri" w:hAnsi="Calibri"/>
          <w:sz w:val="22"/>
          <w:szCs w:val="22"/>
        </w:rPr>
        <w:t xml:space="preserve">, y celebró que el ciclo municipio→entidad ya funciona de punta a punta. El mensaje de fondo quedó: «El producto existe, opera con datos reales y sostiene su promesa central: la tarea ahora es consolidarlo».</w:t>
      </w:r>
    </w:p>
    <w:p>
      <w:pPr>
        <w:pStyle w:val="Heading2"/>
        <w:spacing w:after="120" w:before="240"/>
      </w:pPr>
      <w:r>
        <w:rPr>
          <w:rFonts w:ascii="Calibri" w:cs="Calibri" w:eastAsia="Calibri" w:hAnsi="Calibri"/>
          <w:b/>
          <w:bCs/>
          <w:color w:val="2E5496"/>
        </w:rPr>
        <w:t xml:space="preserve">Chat 4 — «Bloque b publitec»: revisión del rol Municipio (11 jun.)</w:t>
      </w:r>
    </w:p>
    <w:p>
      <w:pPr>
        <w:spacing w:after="120" w:line="276"/>
        <w:jc w:val="both"/>
      </w:pPr>
      <w:r>
        <w:rPr>
          <w:rFonts w:ascii="Calibri" w:cs="Calibri" w:eastAsia="Calibri" w:hAnsi="Calibri"/>
          <w:sz w:val="22"/>
          <w:szCs w:val="22"/>
        </w:rPr>
        <w:t xml:space="preserve">Este chat es el Lote B: la prueba exhaustiva del sitio desde el rol Municipio, diligenciando de principio a fin un proyecto real (el caso de Marinilla). Produjo un documento de 26 páginas con pantallazos. Los hallazgos se detallan en la Parte IV; aquí se resume su naturaleza:</w:t>
      </w:r>
    </w:p>
    <w:p>
      <w:pPr>
        <w:pStyle w:val="ListParagraph"/>
        <w:numPr>
          <w:ilvl w:val="0"/>
          <w:numId w:val="2"/>
        </w:numPr>
        <w:spacing w:after="80" w:line="276"/>
        <w:jc w:val="both"/>
      </w:pPr>
      <w:r>
        <w:rPr>
          <w:rFonts w:ascii="Calibri" w:cs="Calibri" w:eastAsia="Calibri" w:hAnsi="Calibri"/>
          <w:b/>
          <w:bCs/>
          <w:sz w:val="22"/>
          <w:szCs w:val="22"/>
        </w:rPr>
        <w:t xml:space="preserve">Lo que funciona (verde): </w:t>
      </w:r>
      <w:r>
        <w:rPr>
          <w:rFonts w:ascii="Calibri" w:cs="Calibri" w:eastAsia="Calibri" w:hAnsi="Calibri"/>
          <w:sz w:val="22"/>
          <w:szCs w:val="22"/>
        </w:rPr>
        <w:t xml:space="preserve">el asistente de IA está anclado a los datos del proyecto (calculó el costo unitario de $369k/suscriptor a partir de los datos reales cargados), tiene conocimiento territorial (CORNARE) y sectorial, y pide datos antes de inventar. El Observatorio con transparencia de fuentes y el simulador Ley 358 (aritmética verificada) también son sólidos.</w:t>
      </w:r>
    </w:p>
    <w:p>
      <w:pPr>
        <w:pStyle w:val="ListParagraph"/>
        <w:numPr>
          <w:ilvl w:val="0"/>
          <w:numId w:val="2"/>
        </w:numPr>
        <w:spacing w:after="80" w:line="276"/>
        <w:jc w:val="both"/>
      </w:pPr>
      <w:r>
        <w:rPr>
          <w:rFonts w:ascii="Calibri" w:cs="Calibri" w:eastAsia="Calibri" w:hAnsi="Calibri"/>
          <w:b/>
          <w:bCs/>
          <w:sz w:val="22"/>
          <w:szCs w:val="22"/>
        </w:rPr>
        <w:t xml:space="preserve">Dos gaps estructurales: </w:t>
      </w:r>
      <w:r>
        <w:rPr>
          <w:rFonts w:ascii="Calibri" w:cs="Calibri" w:eastAsia="Calibri" w:hAnsi="Calibri"/>
          <w:sz w:val="22"/>
          <w:szCs w:val="22"/>
        </w:rPr>
        <w:t xml:space="preserve">(E-1) el wizard no es MGA sino un formulario genérico —faltan árbol de problemas, alternativas, cadena de valor—; y (E-2) no existe un paso de formalización/firma jurídica, indispensable para una postulación real y para la ruta de crédito.</w:t>
      </w:r>
    </w:p>
    <w:p>
      <w:pPr>
        <w:pStyle w:val="ListParagraph"/>
        <w:numPr>
          <w:ilvl w:val="0"/>
          <w:numId w:val="2"/>
        </w:numPr>
        <w:spacing w:after="80" w:line="276"/>
        <w:jc w:val="both"/>
      </w:pPr>
      <w:r>
        <w:rPr>
          <w:rFonts w:ascii="Calibri" w:cs="Calibri" w:eastAsia="Calibri" w:hAnsi="Calibri"/>
          <w:b/>
          <w:bCs/>
          <w:sz w:val="22"/>
          <w:szCs w:val="22"/>
        </w:rPr>
        <w:t xml:space="preserve">Bloqueos: </w:t>
      </w:r>
      <w:r>
        <w:rPr>
          <w:rFonts w:ascii="Calibri" w:cs="Calibri" w:eastAsia="Calibri" w:hAnsi="Calibri"/>
          <w:sz w:val="22"/>
          <w:szCs w:val="22"/>
        </w:rPr>
        <w:t xml:space="preserve">«Generar proyecto completo» devolvía «No autorizado» y «Enviar Proyecto» no funcionaba; el botón «Aplicar sugerencia» contaminaba los campos con el texto conversacional de la IA.</w:t>
      </w:r>
    </w:p>
    <w:p>
      <w:pPr>
        <w:spacing w:after="120" w:line="276"/>
        <w:jc w:val="both"/>
      </w:pPr>
      <w:r>
        <w:rPr>
          <w:rFonts w:ascii="Calibri" w:cs="Calibri" w:eastAsia="Calibri" w:hAnsi="Calibri"/>
          <w:sz w:val="22"/>
          <w:szCs w:val="22"/>
        </w:rPr>
        <w:t xml:space="preserve">La convención de nomenclatura del semáforo, que Mára pidió aclarar, quedó así: R = bug a corregir, A = aspecto a mejorar, V = comportamiento correcto a preservar, E = gap estructural, C = hallazgo del Lote C.</w:t>
      </w:r>
    </w:p>
    <w:p>
      <w:pPr>
        <w:pStyle w:val="Heading2"/>
        <w:spacing w:after="120" w:before="240"/>
      </w:pPr>
      <w:r>
        <w:rPr>
          <w:rFonts w:ascii="Calibri" w:cs="Calibri" w:eastAsia="Calibri" w:hAnsi="Calibri"/>
          <w:b/>
          <w:bCs/>
          <w:color w:val="2E5496"/>
        </w:rPr>
        <w:t xml:space="preserve">Chat 5 — «Lotec c confusión»: revisión del rol Entidad (11 jun.)</w:t>
      </w:r>
    </w:p>
    <w:p>
      <w:pPr>
        <w:spacing w:after="120" w:line="276"/>
        <w:jc w:val="both"/>
      </w:pPr>
      <w:r>
        <w:rPr>
          <w:rFonts w:ascii="Calibri" w:cs="Calibri" w:eastAsia="Calibri" w:hAnsi="Calibri"/>
          <w:sz w:val="22"/>
          <w:szCs w:val="22"/>
        </w:rPr>
        <w:t xml:space="preserve">Este chat es el Lote C: la prueba del sitio desde el rol Entidad (Bancolombia). Empezó con una confusión —Mára entró por error con la cuenta </w:t>
      </w:r>
      <w:r>
        <w:rPr>
          <w:rFonts w:ascii="Calibri" w:cs="Calibri" w:eastAsia="Calibri" w:hAnsi="Calibri"/>
          <w:i/>
          <w:iCs/>
          <w:sz w:val="22"/>
          <w:szCs w:val="22"/>
        </w:rPr>
        <w:t xml:space="preserve">admin@</w:t>
      </w:r>
      <w:r>
        <w:rPr>
          <w:rFonts w:ascii="Calibri" w:cs="Calibri" w:eastAsia="Calibri" w:hAnsi="Calibri"/>
          <w:sz w:val="22"/>
          <w:szCs w:val="22"/>
        </w:rPr>
        <w:t xml:space="preserve"> en vez de </w:t>
      </w:r>
      <w:r>
        <w:rPr>
          <w:rFonts w:ascii="Calibri" w:cs="Calibri" w:eastAsia="Calibri" w:hAnsi="Calibri"/>
          <w:i/>
          <w:iCs/>
          <w:sz w:val="22"/>
          <w:szCs w:val="22"/>
        </w:rPr>
        <w:t xml:space="preserve">bancolombia@</w:t>
      </w:r>
      <w:r>
        <w:rPr>
          <w:rFonts w:ascii="Calibri" w:cs="Calibri" w:eastAsia="Calibri" w:hAnsi="Calibri"/>
          <w:sz w:val="22"/>
          <w:szCs w:val="22"/>
        </w:rPr>
        <w:t xml:space="preserve">—, lo que de paso dejó pre-registrados hallazgos del futuro Lote E (admin sin organización, menú idéntico al de municipio, onboarding esquivable).</w:t>
      </w:r>
    </w:p>
    <w:p>
      <w:pPr>
        <w:spacing w:after="120" w:line="276"/>
        <w:jc w:val="both"/>
      </w:pPr>
      <w:r>
        <w:rPr>
          <w:rFonts w:ascii="Calibri" w:cs="Calibri" w:eastAsia="Calibri" w:hAnsi="Calibri"/>
          <w:sz w:val="22"/>
          <w:szCs w:val="22"/>
        </w:rPr>
        <w:t xml:space="preserve">Una vez en la cuenta correcta (Felipe Echavarría), se logró demostrar el ciclo completo municipio→entidad: el proyecto de Marinilla, formulado y enviado desde Tumaco, apareció en las Evaluaciones de la entidad con los datos intactos, dato por dato. Esa es la mejor noticia del lote. Pero también apareció el hallazgo central del Lote C:</w:t>
      </w:r>
    </w:p>
    <w:tbl>
      <w:tblPr>
        <w:tblW w:type="pct" w:w="100%"/>
        <w:tblBorders>
          <w:top w:val="single" w:color="C00000" w:sz="2"/>
          <w:left w:val="single" w:color="C00000" w:sz="14"/>
          <w:bottom w:val="single" w:color="C00000" w:sz="2"/>
          <w:right w:val="single" w:color="C00000" w:sz="2"/>
          <w:insideH w:val="none"/>
          <w:insideV w:val="none"/>
        </w:tblBorders>
      </w:tblPr>
      <w:tblGrid>
        <w:gridCol w:w="9360"/>
      </w:tblGrid>
      <w:tr>
        <w:tc>
          <w:tcPr>
            <w:tcW w:type="dxa" w:w="9360"/>
            <w:shd w:fill="FCE4E4" w:val="clear"/>
            <w:tcMar>
              <w:top w:type="dxa" w:w="100"/>
              <w:left w:type="dxa" w:w="160"/>
              <w:bottom w:type="dxa" w:w="100"/>
              <w:right w:type="dxa" w:w="160"/>
            </w:tcMar>
          </w:tcPr>
          <w:p>
            <w:pPr>
              <w:spacing w:after="60"/>
            </w:pPr>
            <w:r>
              <w:rPr>
                <w:rFonts w:ascii="Calibri" w:cs="Calibri" w:eastAsia="Calibri" w:hAnsi="Calibri"/>
                <w:b/>
                <w:bCs/>
                <w:color w:val="C00000"/>
                <w:sz w:val="22"/>
                <w:szCs w:val="22"/>
              </w:rPr>
              <w:t xml:space="preserve">El bloqueo de la evaluación (C-01)</w:t>
            </w:r>
          </w:p>
          <w:p>
            <w:pPr>
              <w:spacing w:after="40"/>
              <w:jc w:val="both"/>
            </w:pPr>
            <w:r>
              <w:rPr>
                <w:rFonts w:ascii="Calibri" w:cs="Calibri" w:eastAsia="Calibri" w:hAnsi="Calibri"/>
                <w:sz w:val="21"/>
                <w:szCs w:val="21"/>
              </w:rPr>
              <w:t xml:space="preserve">El botón «Evaluar» navega a la URL cruda del endpoint (/api/scoring/start) y devuelve el JSON {"error":"No autorizado para este proyecto"} sobre un proyecto enviado a la propia convocatoria de la entidad. Hipótesis: la lógica de permisos está invertida (valida al dueño del proyecto en vez del dueño de la convocatoria). Consecuencia: la evaluación asistida por IA —la función que define el rol Entidad y que la propuesta declara como activo de PI— no es ejecutable en el demo, y los «Calificados» con puntaje son necesariamente datos sembrados (la metadata muestra creación = envío = evaluación con 3 segundos de diferencia, de madrugada).</w:t>
            </w:r>
          </w:p>
        </w:tc>
      </w:tr>
    </w:tbl>
    <w:p>
      <w:pPr>
        <w:spacing w:after="120" w:line="276"/>
        <w:jc w:val="both"/>
      </w:pPr>
      <w:r>
        <w:rPr>
          <w:rFonts w:ascii="Calibri" w:cs="Calibri" w:eastAsia="Calibri" w:hAnsi="Calibri"/>
          <w:sz w:val="22"/>
          <w:szCs w:val="22"/>
        </w:rPr>
        <w:t xml:space="preserve">Otros hallazgos del lote: los reportes descargan en Excel pero con las hojas de detalle vacías; el encabezado del reporte dice «POLYTECH» (un cuarto nombre, probablemente plantilla heredada); una posible fuga entre organizaciones (una convocatoria creada como municipio aparece en el panel de la entidad); el asistente contaminó los datos guardados con su protocolo interno [FIELD_UPDATE] y el diálogo; y el sello de tiempo usa UTC en vez de hora Colombia. La conclusión de fondo: el municipio no debería poder crear convocatorias —hay que decirlo—, y la separación de roles y de datos entre organizaciones necesita revisión antes del piloto.</w:t>
      </w:r>
    </w:p>
    <w:p>
      <w:r>
        <w:br w:type="page"/>
      </w:r>
    </w:p>
    <w:p>
      <w:pPr>
        <w:pStyle w:val="Heading1"/>
        <w:spacing w:after="160" w:before="320"/>
      </w:pPr>
      <w:r>
        <w:rPr>
          <w:rFonts w:ascii="Calibri" w:cs="Calibri" w:eastAsia="Calibri" w:hAnsi="Calibri"/>
          <w:b/>
          <w:bCs/>
          <w:color w:val="1F3864"/>
        </w:rPr>
        <w:t xml:space="preserve">Parte III. El trabajo Lab to Market</w:t>
      </w:r>
    </w:p>
    <w:p>
      <w:pPr>
        <w:spacing w:after="120" w:line="276"/>
        <w:jc w:val="both"/>
      </w:pPr>
      <w:r>
        <w:rPr>
          <w:rFonts w:ascii="Calibri" w:cs="Calibri" w:eastAsia="Calibri" w:hAnsi="Calibri"/>
          <w:sz w:val="22"/>
          <w:szCs w:val="22"/>
        </w:rPr>
        <w:t xml:space="preserve">En paralelo a la reconstrucción del anexo y a la revisión del producto, el equipo cursa el programa </w:t>
      </w:r>
      <w:r>
        <w:rPr>
          <w:rFonts w:ascii="Calibri" w:cs="Calibri" w:eastAsia="Calibri" w:hAnsi="Calibri"/>
          <w:b/>
          <w:bCs/>
          <w:sz w:val="22"/>
          <w:szCs w:val="22"/>
        </w:rPr>
        <w:t xml:space="preserve">Lab to Market de EAFIT 2026</w:t>
      </w:r>
      <w:r>
        <w:rPr>
          <w:rFonts w:ascii="Calibri" w:cs="Calibri" w:eastAsia="Calibri" w:hAnsi="Calibri"/>
          <w:sz w:val="22"/>
          <w:szCs w:val="22"/>
        </w:rPr>
        <w:t xml:space="preserve"> (metodología Georgia Tech), en su Fase 2 de descubrimiento y validación del cliente. De ahí salieron varios documentos metodológicos clave.</w:t>
      </w:r>
    </w:p>
    <w:p>
      <w:pPr>
        <w:pStyle w:val="Heading2"/>
        <w:spacing w:after="120" w:before="240"/>
      </w:pPr>
      <w:r>
        <w:rPr>
          <w:rFonts w:ascii="Calibri" w:cs="Calibri" w:eastAsia="Calibri" w:hAnsi="Calibri"/>
          <w:b/>
          <w:bCs/>
          <w:color w:val="2E5496"/>
        </w:rPr>
        <w:t xml:space="preserve">8. La propuesta de valor consolidada</w:t>
      </w:r>
    </w:p>
    <w:tbl>
      <w:tblPr>
        <w:tblW w:type="pct" w:w="100%"/>
        <w:tblBorders>
          <w:top w:val="single" w:color="375623" w:sz="2"/>
          <w:left w:val="single" w:color="375623" w:sz="14"/>
          <w:bottom w:val="single" w:color="375623" w:sz="2"/>
          <w:right w:val="single" w:color="375623" w:sz="2"/>
          <w:insideH w:val="none"/>
          <w:insideV w:val="none"/>
        </w:tblBorders>
      </w:tblPr>
      <w:tblGrid>
        <w:gridCol w:w="9360"/>
      </w:tblGrid>
      <w:tr>
        <w:tc>
          <w:tcPr>
            <w:tcW w:type="dxa" w:w="9360"/>
            <w:shd w:fill="E2EFDA" w:val="clear"/>
            <w:tcMar>
              <w:top w:type="dxa" w:w="100"/>
              <w:left w:type="dxa" w:w="160"/>
              <w:bottom w:type="dxa" w:w="100"/>
              <w:right w:type="dxa" w:w="160"/>
            </w:tcMar>
          </w:tcPr>
          <w:p>
            <w:pPr>
              <w:spacing w:after="40"/>
              <w:jc w:val="both"/>
            </w:pPr>
            <w:r>
              <w:rPr>
                <w:rFonts w:ascii="Calibri" w:cs="Calibri" w:eastAsia="Calibri" w:hAnsi="Calibri"/>
                <w:sz w:val="21"/>
                <w:szCs w:val="21"/>
              </w:rPr>
              <w:t xml:space="preserve">PuBlitec ayuda a los financiadores de gobiernos regionales que quieren maximizar la colocación de sus recursos de inversión, y a los municipios formuladores que quieren reducir errores de estructuración para aumentar su tasa de éxito en la aprobación del financiamiento, a diferencia de los mecanismos fragmentados y sin asistencia técnica que hoy existen.</w:t>
            </w:r>
          </w:p>
        </w:tc>
      </w:tr>
    </w:tbl>
    <w:p>
      <w:pPr>
        <w:spacing w:after="120" w:line="276"/>
        <w:jc w:val="both"/>
      </w:pPr>
      <w:r>
        <w:rPr>
          <w:rFonts w:ascii="Calibri" w:cs="Calibri" w:eastAsia="Calibri" w:hAnsi="Calibri"/>
          <w:sz w:val="22"/>
          <w:szCs w:val="22"/>
        </w:rPr>
        <w:t xml:space="preserve">La validación identificó dos arquetipos de cliente en paralelo, y decidió priorizar metodológicamente al financiador.</w:t>
      </w:r>
    </w:p>
    <w:p>
      <w:pPr>
        <w:pStyle w:val="Heading2"/>
        <w:spacing w:after="120" w:before="240"/>
      </w:pPr>
      <w:r>
        <w:rPr>
          <w:rFonts w:ascii="Calibri" w:cs="Calibri" w:eastAsia="Calibri" w:hAnsi="Calibri"/>
          <w:b/>
          <w:bCs/>
          <w:color w:val="2E5496"/>
        </w:rPr>
        <w:t xml:space="preserve">9. Los dos segmentos de cliente</w:t>
      </w:r>
    </w:p>
    <w:p>
      <w:pPr>
        <w:pStyle w:val="Heading3"/>
        <w:spacing w:after="100" w:before="180"/>
      </w:pPr>
      <w:r>
        <w:rPr>
          <w:rFonts w:ascii="Calibri" w:cs="Calibri" w:eastAsia="Calibri" w:hAnsi="Calibri"/>
          <w:b/>
          <w:bCs/>
          <w:i/>
          <w:iCs/>
          <w:color w:val="2E5496"/>
        </w:rPr>
        <w:t xml:space="preserve">Segmento A — Financiador territorial (prioritario)</w:t>
      </w:r>
    </w:p>
    <w:p>
      <w:pPr>
        <w:spacing w:after="120" w:line="276"/>
        <w:jc w:val="both"/>
      </w:pPr>
      <w:r>
        <w:rPr>
          <w:rFonts w:ascii="Calibri" w:cs="Calibri" w:eastAsia="Calibri" w:hAnsi="Calibri"/>
          <w:sz w:val="22"/>
          <w:szCs w:val="22"/>
        </w:rPr>
        <w:t xml:space="preserve">Entidades públicas o privadas que canalizan recursos hacia la inversión territorial municipal. Es un universo heterogéneo que comparte la función de canalización y el problema de evaluar la capacidad municipal antes de comprometer recursos. Seis subtipos: institutos de fomento departamental (IDEA, INFIBOY, INFIVALLE, INFIANTIOQUIA); banca pública de segundo piso (Findeter, Bancóldex); banca privada con línea de gobierno (Bancolombia, Davivienda, BBVA); ministerios sectoriales y agencias del orden nacional; el Sistema General de Regalías (DNP, OCAD); y banca multilateral (BID, CAF, Banco Mundial).</w:t>
      </w:r>
    </w:p>
    <w:p>
      <w:pPr>
        <w:pStyle w:val="Heading3"/>
        <w:spacing w:after="100" w:before="180"/>
      </w:pPr>
      <w:r>
        <w:rPr>
          <w:rFonts w:ascii="Calibri" w:cs="Calibri" w:eastAsia="Calibri" w:hAnsi="Calibri"/>
          <w:b/>
          <w:bCs/>
          <w:i/>
          <w:iCs/>
          <w:color w:val="2E5496"/>
        </w:rPr>
        <w:t xml:space="preserve">Segmento B — Municipio formulador (paralelo)</w:t>
      </w:r>
    </w:p>
    <w:p>
      <w:pPr>
        <w:spacing w:after="120" w:line="276"/>
        <w:jc w:val="both"/>
      </w:pPr>
      <w:r>
        <w:rPr>
          <w:rFonts w:ascii="Calibri" w:cs="Calibri" w:eastAsia="Calibri" w:hAnsi="Calibri"/>
          <w:sz w:val="22"/>
          <w:szCs w:val="22"/>
        </w:rPr>
        <w:t xml:space="preserve">Municipios de categorías 3, 4 y 5 (la «clase media municipal»), con oficina de planeación pero capacidad técnica insuficiente. El tomador de decisión es el secretario de planeación; el usuario operativo, el equipo técnico de uno a tres profesionales, con frecuencia rotativos; y el comprador efectivo termina siendo, en muchos casos, un tercero que paga por el municipio (gobernación, ministerio, cooperación, banca de soporte).</w:t>
      </w:r>
    </w:p>
    <w:tbl>
      <w:tblPr>
        <w:tblW w:type="pct" w:w="100%"/>
        <w:tblBorders>
          <w:top w:val="single" w:color="1F3864" w:sz="2"/>
          <w:left w:val="single" w:color="1F3864" w:sz="14"/>
          <w:bottom w:val="single" w:color="1F3864" w:sz="2"/>
          <w:right w:val="single" w:color="1F3864" w:sz="2"/>
          <w:insideH w:val="none"/>
          <w:insideV w:val="none"/>
        </w:tblBorders>
      </w:tblPr>
      <w:tblGrid>
        <w:gridCol w:w="9360"/>
      </w:tblGrid>
      <w:tr>
        <w:tc>
          <w:tcPr>
            <w:tcW w:type="dxa" w:w="9360"/>
            <w:shd w:fill="D9E2F3" w:val="clear"/>
            <w:tcMar>
              <w:top w:type="dxa" w:w="100"/>
              <w:left w:type="dxa" w:w="160"/>
              <w:bottom w:type="dxa" w:w="100"/>
              <w:right w:type="dxa" w:w="160"/>
            </w:tcMar>
          </w:tcPr>
          <w:p>
            <w:pPr>
              <w:spacing w:after="60"/>
            </w:pPr>
            <w:r>
              <w:rPr>
                <w:rFonts w:ascii="Calibri" w:cs="Calibri" w:eastAsia="Calibri" w:hAnsi="Calibri"/>
                <w:b/>
                <w:bCs/>
                <w:color w:val="1F3864"/>
                <w:sz w:val="22"/>
                <w:szCs w:val="22"/>
              </w:rPr>
              <w:t xml:space="preserve">Por qué se priorizó al financiador</w:t>
            </w:r>
          </w:p>
          <w:p>
            <w:pPr>
              <w:spacing w:after="40"/>
              <w:jc w:val="both"/>
            </w:pPr>
            <w:r>
              <w:rPr>
                <w:rFonts w:ascii="Calibri" w:cs="Calibri" w:eastAsia="Calibri" w:hAnsi="Calibri"/>
                <w:sz w:val="21"/>
                <w:szCs w:val="21"/>
              </w:rPr>
              <w:t xml:space="preserve">Las tres intuiciones del investigador principal (Dr. Santiago Leyva) —la «clase media municipal» como segmento natural de colocación, la comparación con la banca de soporte tipo IDEA, y la escasez de proyectos viables para colocar— están todas del lado del financiador. El pivote hacia «infraestructura de datos para el crédito territorial» apunta al financiador como el cliente que paga; el municipio, en ese discurso, es usuario, no comprador. El municipio no se pregunta «¿hay suficientes proyectos?», se pregunta «¿cómo logro que el mío sea aprobado?».</w:t>
            </w:r>
          </w:p>
        </w:tc>
      </w:tr>
    </w:tbl>
    <w:p>
      <w:pPr>
        <w:pStyle w:val="Heading2"/>
        <w:spacing w:after="120" w:before="240"/>
      </w:pPr>
      <w:r>
        <w:rPr>
          <w:rFonts w:ascii="Calibri" w:cs="Calibri" w:eastAsia="Calibri" w:hAnsi="Calibri"/>
          <w:b/>
          <w:bCs/>
          <w:color w:val="2E5496"/>
        </w:rPr>
        <w:t xml:space="preserve">10. Las matrices de descubrimiento del cliente</w:t>
      </w:r>
    </w:p>
    <w:p>
      <w:pPr>
        <w:spacing w:after="120" w:line="276"/>
        <w:jc w:val="both"/>
      </w:pPr>
      <w:r>
        <w:rPr>
          <w:rFonts w:ascii="Calibri" w:cs="Calibri" w:eastAsia="Calibri" w:hAnsi="Calibri"/>
          <w:sz w:val="22"/>
          <w:szCs w:val="22"/>
        </w:rPr>
        <w:t xml:space="preserve">Para cada segmento se construyó una matriz con las seis premisas guía del modelo de descubrimiento (Georgia Tech, adaptación EAFIT), expresando cada premisa primero como suposición cualitativa y luego como hipótesis cuantitativa comprobable. Ninguna hipótesis menciona la solución ni la tecnología: todas se redactan desde la perspectiva del cliente. Las seis premisas son: quién es el cliente, qué problema tiene, cómo sabemos que es un problema, cuál es su impacto, por qué no puede resolverlo hoy, y qué otras personas están involucradas.</w:t>
      </w:r>
    </w:p>
    <w:p>
      <w:pPr>
        <w:spacing w:after="120" w:line="276"/>
        <w:jc w:val="both"/>
      </w:pPr>
      <w:r>
        <w:rPr>
          <w:rFonts w:ascii="Calibri" w:cs="Calibri" w:eastAsia="Calibri" w:hAnsi="Calibri"/>
          <w:sz w:val="22"/>
          <w:szCs w:val="22"/>
        </w:rPr>
        <w:t xml:space="preserve">Ejemplo del rigor: para el financiador, la hipótesis de la premisa «el problema que tiene» es que «al menos 6 de cada 10 ejecutivos entrevistados reportarán haber enfrentado en los últimos 12 meses recursos disponibles no colocados por insuficiencia de proyectos viables, cartera con dificultades de ejecución, o costo elevado de acompañamiento técnico». Cada hipótesis lleva un umbral numérico verificable. La matriz reveló una </w:t>
      </w:r>
      <w:r>
        <w:rPr>
          <w:rFonts w:ascii="Calibri" w:cs="Calibri" w:eastAsia="Calibri" w:hAnsi="Calibri"/>
          <w:b/>
          <w:bCs/>
          <w:sz w:val="22"/>
          <w:szCs w:val="22"/>
        </w:rPr>
        <w:t xml:space="preserve">asimetría clave</w:t>
      </w:r>
      <w:r>
        <w:rPr>
          <w:rFonts w:ascii="Calibri" w:cs="Calibri" w:eastAsia="Calibri" w:hAnsi="Calibri"/>
          <w:sz w:val="22"/>
          <w:szCs w:val="22"/>
        </w:rPr>
        <w:t xml:space="preserve">: financiador y municipio comparten un problema sistémico común, pero lo viven desde lugares opuestos del flujo de inversión, y por tanto pagarían por soluciones distintas.</w:t>
      </w:r>
    </w:p>
    <w:p>
      <w:pPr>
        <w:pStyle w:val="Heading2"/>
        <w:spacing w:after="120" w:before="240"/>
      </w:pPr>
      <w:r>
        <w:rPr>
          <w:rFonts w:ascii="Calibri" w:cs="Calibri" w:eastAsia="Calibri" w:hAnsi="Calibri"/>
          <w:b/>
          <w:bCs/>
          <w:color w:val="2E5496"/>
        </w:rPr>
        <w:t xml:space="preserve">11. La guía de validación comercial</w:t>
      </w:r>
    </w:p>
    <w:p>
      <w:pPr>
        <w:spacing w:after="120" w:line="276"/>
        <w:jc w:val="both"/>
      </w:pPr>
      <w:r>
        <w:rPr>
          <w:rFonts w:ascii="Calibri" w:cs="Calibri" w:eastAsia="Calibri" w:hAnsi="Calibri"/>
          <w:sz w:val="22"/>
          <w:szCs w:val="22"/>
        </w:rPr>
        <w:t xml:space="preserve">Se construyó una guía de preguntas de validación estructurada en seis ejes (realidad del problema; mecanismos actuales y su insuficiencia; impacto y consecuencias; factores de decisión; barreras y riesgos; sostenibilidad de la relación), con una guía núcleo de 15 preguntas y dos guías específicas por segmento. La pregunta 15 es siempre la «varita mágica» y va al final sin preámbulo. La guía incorpora el modelo de roles T/U/C/S/B/I (Tomador de decisión, Usuario, Comprador, Saboteador, Beneficiario, Influenciador) y notas metodológicas del protocolo Talking to Humans.</w:t>
      </w:r>
    </w:p>
    <w:p>
      <w:pPr>
        <w:spacing w:after="120" w:line="276"/>
        <w:jc w:val="both"/>
      </w:pPr>
      <w:r>
        <w:rPr>
          <w:rFonts w:ascii="Calibri" w:cs="Calibri" w:eastAsia="Calibri" w:hAnsi="Calibri"/>
          <w:sz w:val="22"/>
          <w:szCs w:val="22"/>
        </w:rPr>
        <w:t xml:space="preserve">El compromiso operativo del taller quedó definido: levantar y priorizar hipótesis para un segmento (cumplido), identificar 20 stakeholders potenciales y 10 contactos específicos, y realizar mínimo 5 entrevistas antes del cierre. El universo objetivo para el Segmento A incluye institutos de fomento, banca pública y privada, ministerios y banca multilateral; para el Segmento B, municipios cat. 3–5, entre ellos Marinilla por la relación previa. Dos trampas a evitar: </w:t>
      </w:r>
      <w:r>
        <w:rPr>
          <w:rFonts w:ascii="Calibri" w:cs="Calibri" w:eastAsia="Calibri" w:hAnsi="Calibri"/>
          <w:i/>
          <w:iCs/>
          <w:sz w:val="22"/>
          <w:szCs w:val="22"/>
        </w:rPr>
        <w:t xml:space="preserve">guiar al entrevistado</w:t>
      </w:r>
      <w:r>
        <w:rPr>
          <w:rFonts w:ascii="Calibri" w:cs="Calibri" w:eastAsia="Calibri" w:hAnsi="Calibri"/>
          <w:sz w:val="22"/>
          <w:szCs w:val="22"/>
        </w:rPr>
        <w:t xml:space="preserve"> y </w:t>
      </w:r>
      <w:r>
        <w:rPr>
          <w:rFonts w:ascii="Calibri" w:cs="Calibri" w:eastAsia="Calibri" w:hAnsi="Calibri"/>
          <w:i/>
          <w:iCs/>
          <w:sz w:val="22"/>
          <w:szCs w:val="22"/>
        </w:rPr>
        <w:t xml:space="preserve">tratar la especulación como confirmación</w:t>
      </w:r>
      <w:r>
        <w:rPr>
          <w:rFonts w:ascii="Calibri" w:cs="Calibri" w:eastAsia="Calibri" w:hAnsi="Calibri"/>
          <w:sz w:val="22"/>
          <w:szCs w:val="22"/>
        </w:rPr>
        <w:t xml:space="preserve"> (solo cuenta como validación lo que ocurrió como hecho, no lo que el cliente «cree que haría»).</w:t>
      </w:r>
    </w:p>
    <w:p>
      <w:pPr>
        <w:pStyle w:val="Heading2"/>
        <w:spacing w:after="120" w:before="240"/>
      </w:pPr>
      <w:r>
        <w:rPr>
          <w:rFonts w:ascii="Calibri" w:cs="Calibri" w:eastAsia="Calibri" w:hAnsi="Calibri"/>
          <w:b/>
          <w:bCs/>
          <w:color w:val="2E5496"/>
        </w:rPr>
        <w:t xml:space="preserve">12. El memo de la Sesión 4 y el pitch</w:t>
      </w:r>
    </w:p>
    <w:p>
      <w:pPr>
        <w:spacing w:after="120" w:line="276"/>
        <w:jc w:val="both"/>
      </w:pPr>
      <w:r>
        <w:rPr>
          <w:rFonts w:ascii="Calibri" w:cs="Calibri" w:eastAsia="Calibri" w:hAnsi="Calibri"/>
          <w:sz w:val="22"/>
          <w:szCs w:val="22"/>
        </w:rPr>
        <w:t xml:space="preserve">La sesión 4 del Lab to Market (18 de junio) trabajó tres bloques: el MVP, las alianzas y el pitch. La distinción central que se fijó: el prototipo prueba que la tecnología funciona; el MVP valida si hay disposición real a adoptar y a pagar. La frase que la sintetiza: «no necesito saber todavía si el jugo de naranja sabe rico; necesito saber si están dispuestos a comprármelo». Los cuatro principios del MVP: concretar la idea (que «hasta una abuelita lo entienda»), definir la viabilidad mínima, construir para aprender e iterar rápido. Y la advertencia propia de la academia: no prometer «la próxima versión», porque si le ofrezco al cliente algo mejor para dentro de seis meses, nunca me compra lo de hoy.</w:t>
      </w:r>
    </w:p>
    <w:p>
      <w:pPr>
        <w:spacing w:after="120" w:line="276"/>
        <w:jc w:val="both"/>
      </w:pPr>
      <w:r>
        <w:rPr>
          <w:rFonts w:ascii="Calibri" w:cs="Calibri" w:eastAsia="Calibri" w:hAnsi="Calibri"/>
          <w:sz w:val="22"/>
          <w:szCs w:val="22"/>
        </w:rPr>
        <w:t xml:space="preserve">El </w:t>
      </w:r>
      <w:r>
        <w:rPr>
          <w:rFonts w:ascii="Calibri" w:cs="Calibri" w:eastAsia="Calibri" w:hAnsi="Calibri"/>
          <w:b/>
          <w:bCs/>
          <w:sz w:val="22"/>
          <w:szCs w:val="22"/>
        </w:rPr>
        <w:t xml:space="preserve">pitch de PuBlitec</w:t>
      </w:r>
      <w:r>
        <w:rPr>
          <w:rFonts w:ascii="Calibri" w:cs="Calibri" w:eastAsia="Calibri" w:hAnsi="Calibri"/>
          <w:sz w:val="22"/>
          <w:szCs w:val="22"/>
        </w:rPr>
        <w:t xml:space="preserve"> (5 minutos, panel interno de la Dirección de Innovación) se construyó alrededor de tres apuestas comunicativas: anclar en una cifra inolvidable (200 billones al año pasan por la MGA, y el 87,9 % de los municipios la formulan con equipos de tres personas); demostrar tracción, no potencial (Marinilla, Bancolombia, Gobernación de Antioquia); y convertir el modelo de negocio en el cierre (el fee de éxito del 1 % que resuelve la objeción presupuestal). El pedido a EAFIT: 100 millones de aporte + 96,5 millones de contrapartida en especie = 196,5 millones para 12 meses. La promesa de cierre: «No prometemos validación: la documentamos», con evidencia cuantitativa de tasa de aprobación versus línea base histórica.</w:t>
      </w:r>
    </w:p>
    <w:p>
      <w:r>
        <w:br w:type="page"/>
      </w:r>
    </w:p>
    <w:p>
      <w:pPr>
        <w:pStyle w:val="Heading1"/>
        <w:spacing w:after="160" w:before="320"/>
      </w:pPr>
      <w:r>
        <w:rPr>
          <w:rFonts w:ascii="Calibri" w:cs="Calibri" w:eastAsia="Calibri" w:hAnsi="Calibri"/>
          <w:b/>
          <w:bCs/>
          <w:color w:val="1F3864"/>
        </w:rPr>
        <w:t xml:space="preserve">Parte IV. El producto desplegado: hallazgos de la revisión por lotes</w:t>
      </w:r>
    </w:p>
    <w:p>
      <w:pPr>
        <w:spacing w:after="120" w:line="276"/>
        <w:jc w:val="both"/>
      </w:pPr>
      <w:r>
        <w:rPr>
          <w:rFonts w:ascii="Calibri" w:cs="Calibri" w:eastAsia="Calibri" w:hAnsi="Calibri"/>
          <w:sz w:val="22"/>
          <w:szCs w:val="22"/>
        </w:rPr>
        <w:t xml:space="preserve">La revisión del sitio real (https://publitec-bancolombia.vercel.app) se hizo por lotes, rol por rol, contra las cinco preguntas clave del protocolo: (1) ¿la IA está anclada al corpus normativo? (2) ¿hay coherencia entre etapas vía «Generar proyecto»? (3) ¿la pre-evaluación desglosa por criterio? (4) ¿hay autoguardado? (5) ¿el ciclo municipio→entidad es coherente? A continuación, el estado consolidado.</w:t>
      </w:r>
    </w:p>
    <w:p>
      <w:pPr>
        <w:pStyle w:val="Heading2"/>
        <w:spacing w:after="120" w:before="240"/>
      </w:pPr>
      <w:r>
        <w:rPr>
          <w:rFonts w:ascii="Calibri" w:cs="Calibri" w:eastAsia="Calibri" w:hAnsi="Calibri"/>
          <w:b/>
          <w:bCs/>
          <w:color w:val="2E5496"/>
        </w:rPr>
        <w:t xml:space="preserve">13. Lo que ya funciona bien</w:t>
      </w:r>
    </w:p>
    <w:p>
      <w:pPr>
        <w:pStyle w:val="ListParagraph"/>
        <w:numPr>
          <w:ilvl w:val="0"/>
          <w:numId w:val="2"/>
        </w:numPr>
        <w:spacing w:after="80" w:line="276"/>
        <w:jc w:val="both"/>
      </w:pPr>
      <w:r>
        <w:rPr>
          <w:rFonts w:ascii="Calibri" w:cs="Calibri" w:eastAsia="Calibri" w:hAnsi="Calibri"/>
          <w:b/>
          <w:bCs/>
          <w:sz w:val="22"/>
          <w:szCs w:val="22"/>
        </w:rPr>
        <w:t xml:space="preserve">El asistente de IA está anclado al proyecto: </w:t>
      </w:r>
      <w:r>
        <w:rPr>
          <w:rFonts w:ascii="Calibri" w:cs="Calibri" w:eastAsia="Calibri" w:hAnsi="Calibri"/>
          <w:sz w:val="22"/>
          <w:szCs w:val="22"/>
        </w:rPr>
        <w:t xml:space="preserve">calcula sobre los datos reales cargados (costo unitario $369k/suscriptor), tiene conocimiento territorial (concesiones CORNARE para Marinilla) y sectorial (licencia ambiental vs. concesión de aguas), y pide datos antes de inventar. Es la conducta anti-alucinación correcta.</w:t>
      </w:r>
    </w:p>
    <w:p>
      <w:pPr>
        <w:pStyle w:val="ListParagraph"/>
        <w:numPr>
          <w:ilvl w:val="0"/>
          <w:numId w:val="2"/>
        </w:numPr>
        <w:spacing w:after="80" w:line="276"/>
        <w:jc w:val="both"/>
      </w:pPr>
      <w:r>
        <w:rPr>
          <w:rFonts w:ascii="Calibri" w:cs="Calibri" w:eastAsia="Calibri" w:hAnsi="Calibri"/>
          <w:b/>
          <w:bCs/>
          <w:sz w:val="22"/>
          <w:szCs w:val="22"/>
        </w:rPr>
        <w:t xml:space="preserve">El ciclo municipio→entidad funciona de punta a punta: </w:t>
      </w:r>
      <w:r>
        <w:rPr>
          <w:rFonts w:ascii="Calibri" w:cs="Calibri" w:eastAsia="Calibri" w:hAnsi="Calibri"/>
          <w:sz w:val="22"/>
          <w:szCs w:val="22"/>
        </w:rPr>
        <w:t xml:space="preserve">un proyecto formulado y enviado desde Tumaco llega completo a la bandeja de evaluación de la entidad, con fidelidad total de datos. Es la columna vertebral de lo prometido.</w:t>
      </w:r>
    </w:p>
    <w:p>
      <w:pPr>
        <w:pStyle w:val="ListParagraph"/>
        <w:numPr>
          <w:ilvl w:val="0"/>
          <w:numId w:val="2"/>
        </w:numPr>
        <w:spacing w:after="80" w:line="276"/>
        <w:jc w:val="both"/>
      </w:pPr>
      <w:r>
        <w:rPr>
          <w:rFonts w:ascii="Calibri" w:cs="Calibri" w:eastAsia="Calibri" w:hAnsi="Calibri"/>
          <w:b/>
          <w:bCs/>
          <w:sz w:val="22"/>
          <w:szCs w:val="22"/>
        </w:rPr>
        <w:t xml:space="preserve">Transparencia como estándar de la casa: </w:t>
      </w:r>
      <w:r>
        <w:rPr>
          <w:rFonts w:ascii="Calibri" w:cs="Calibri" w:eastAsia="Calibri" w:hAnsi="Calibri"/>
          <w:sz w:val="22"/>
          <w:szCs w:val="22"/>
        </w:rPr>
        <w:t xml:space="preserve">el Observatorio declara sus fuentes y frecuencias; el simulador Ley 358 tiene aritmética verificada; el IGM-B publica su fórmula (Resultados MDM 45 %, Gestión 35 %, Ejecución SGR departamental 20 %); y el matchmaking lleva disclaimer regulatorio («no constituye oferta ni aprobación de crédito»).</w:t>
      </w:r>
    </w:p>
    <w:p>
      <w:pPr>
        <w:pStyle w:val="Heading2"/>
        <w:spacing w:after="120" w:before="240"/>
      </w:pPr>
      <w:r>
        <w:rPr>
          <w:rFonts w:ascii="Calibri" w:cs="Calibri" w:eastAsia="Calibri" w:hAnsi="Calibri"/>
          <w:b/>
          <w:bCs/>
          <w:color w:val="2E5496"/>
        </w:rPr>
        <w:t xml:space="preserve">14. Los bloqueos del tramo final</w:t>
      </w:r>
    </w:p>
    <w:tbl>
      <w:tblPr>
        <w:tblW w:type="dxa" w:w="9360"/>
        <w:tblBorders>
          <w:top w:val="single" w:color="AAAAAA" w:sz="2"/>
          <w:left w:val="single" w:color="AAAAAA" w:sz="2"/>
          <w:bottom w:val="single" w:color="AAAAAA" w:sz="2"/>
          <w:right w:val="single" w:color="AAAAAA" w:sz="2"/>
          <w:insideH w:val="single" w:color="CCCCCC" w:sz="1"/>
          <w:insideV w:val="single" w:color="CCCCCC" w:sz="1"/>
        </w:tblBorders>
      </w:tblPr>
      <w:tblGrid>
        <w:gridCol w:w="1400"/>
        <w:gridCol w:w="4360"/>
        <w:gridCol w:w="3600"/>
      </w:tblGrid>
      <w:tr>
        <w:trPr>
          <w:tblHeader/>
        </w:trPr>
        <w:tc>
          <w:tcPr>
            <w:tcW w:type="dxa" w:w="1400"/>
            <w:shd w:fill="2E5496" w:val="clear"/>
            <w:tcMar>
              <w:top w:type="dxa" w:w="60"/>
              <w:left w:type="dxa" w:w="90"/>
              <w:bottom w:type="dxa" w:w="60"/>
              <w:right w:type="dxa" w:w="90"/>
            </w:tcMar>
            <w:vAlign w:val="center"/>
          </w:tcPr>
          <w:p>
            <w:pPr>
              <w:spacing w:after="20" w:line="250"/>
              <w:jc w:val="center"/>
            </w:pPr>
            <w:r>
              <w:rPr>
                <w:rFonts w:ascii="Calibri" w:cs="Calibri" w:eastAsia="Calibri" w:hAnsi="Calibri"/>
                <w:b/>
                <w:bCs/>
                <w:color w:val="FFFFFF"/>
                <w:sz w:val="20"/>
                <w:szCs w:val="20"/>
              </w:rPr>
              <w:t xml:space="preserve">Código</w:t>
            </w:r>
          </w:p>
        </w:tc>
        <w:tc>
          <w:tcPr>
            <w:tcW w:type="dxa" w:w="4360"/>
            <w:shd w:fill="2E5496" w:val="clear"/>
            <w:tcMar>
              <w:top w:type="dxa" w:w="60"/>
              <w:left w:type="dxa" w:w="90"/>
              <w:bottom w:type="dxa" w:w="60"/>
              <w:right w:type="dxa" w:w="90"/>
            </w:tcMar>
            <w:vAlign w:val="center"/>
          </w:tcPr>
          <w:p>
            <w:pPr>
              <w:spacing w:after="20" w:line="250"/>
              <w:jc w:val="center"/>
            </w:pPr>
            <w:r>
              <w:rPr>
                <w:rFonts w:ascii="Calibri" w:cs="Calibri" w:eastAsia="Calibri" w:hAnsi="Calibri"/>
                <w:b/>
                <w:bCs/>
                <w:color w:val="FFFFFF"/>
                <w:sz w:val="20"/>
                <w:szCs w:val="20"/>
              </w:rPr>
              <w:t xml:space="preserve">Hallazgo</w:t>
            </w:r>
          </w:p>
        </w:tc>
        <w:tc>
          <w:tcPr>
            <w:tcW w:type="dxa" w:w="3600"/>
            <w:shd w:fill="2E5496" w:val="clear"/>
            <w:tcMar>
              <w:top w:type="dxa" w:w="60"/>
              <w:left w:type="dxa" w:w="90"/>
              <w:bottom w:type="dxa" w:w="60"/>
              <w:right w:type="dxa" w:w="90"/>
            </w:tcMar>
            <w:vAlign w:val="center"/>
          </w:tcPr>
          <w:p>
            <w:pPr>
              <w:spacing w:after="20" w:line="250"/>
              <w:jc w:val="center"/>
            </w:pPr>
            <w:r>
              <w:rPr>
                <w:rFonts w:ascii="Calibri" w:cs="Calibri" w:eastAsia="Calibri" w:hAnsi="Calibri"/>
                <w:b/>
                <w:bCs/>
                <w:color w:val="FFFFFF"/>
                <w:sz w:val="20"/>
                <w:szCs w:val="20"/>
              </w:rPr>
              <w:t xml:space="preserve">Efecto</w:t>
            </w:r>
          </w:p>
        </w:tc>
      </w:tr>
      <w:tr>
        <w:tc>
          <w:tcPr>
            <w:tcW w:type="dxa" w:w="14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Generación</w:t>
            </w:r>
          </w:p>
        </w:tc>
        <w:tc>
          <w:tcPr>
            <w:tcW w:type="dxa" w:w="436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«Generar proyecto completo» devuelve «No autorizado»</w:t>
            </w:r>
          </w:p>
        </w:tc>
        <w:tc>
          <w:tcPr>
            <w:tcW w:type="dxa" w:w="36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Impide validar la coherencia inter-etapas (pregunta 2)</w:t>
            </w:r>
          </w:p>
        </w:tc>
      </w:tr>
      <w:tr>
        <w:tc>
          <w:tcPr>
            <w:tcW w:type="dxa" w:w="140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Envío</w:t>
            </w:r>
          </w:p>
        </w:tc>
        <w:tc>
          <w:tcPr>
            <w:tcW w:type="dxa" w:w="436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«Enviar Proyecto» falla / error de Server Components en inglés</w:t>
            </w:r>
          </w:p>
        </w:tc>
        <w:tc>
          <w:tcPr>
            <w:tcW w:type="dxa" w:w="360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Bloquea el cierre del ciclo desde el municipio (intermitente)</w:t>
            </w:r>
          </w:p>
        </w:tc>
      </w:tr>
      <w:tr>
        <w:tc>
          <w:tcPr>
            <w:tcW w:type="dxa" w:w="14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C-01</w:t>
            </w:r>
          </w:p>
        </w:tc>
        <w:tc>
          <w:tcPr>
            <w:tcW w:type="dxa" w:w="436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«Evaluar» navega al endpoint crudo y devuelve «No autorizado»</w:t>
            </w:r>
          </w:p>
        </w:tc>
        <w:tc>
          <w:tcPr>
            <w:tcW w:type="dxa" w:w="36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La evaluación IA de la entidad no es ejecutable; los «Calificados» son seed</w:t>
            </w:r>
          </w:p>
        </w:tc>
      </w:tr>
      <w:tr>
        <w:tc>
          <w:tcPr>
            <w:tcW w:type="dxa" w:w="140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Aplicar IA</w:t>
            </w:r>
          </w:p>
        </w:tc>
        <w:tc>
          <w:tcPr>
            <w:tcW w:type="dxa" w:w="436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«Aplicar sugerencia» pega el texto conversacional de la IA en los campos</w:t>
            </w:r>
          </w:p>
        </w:tc>
        <w:tc>
          <w:tcPr>
            <w:tcW w:type="dxa" w:w="360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Datos sucios («¡Tú decides!») llegan al evaluador y al reporte</w:t>
            </w:r>
          </w:p>
        </w:tc>
      </w:tr>
      <w:tr>
        <w:tc>
          <w:tcPr>
            <w:tcW w:type="dxa" w:w="14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C-19</w:t>
            </w:r>
          </w:p>
        </w:tc>
        <w:tc>
          <w:tcPr>
            <w:tcW w:type="dxa" w:w="436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El asistente persiste su protocolo [FIELD_UPDATE] y el diálogo</w:t>
            </w:r>
          </w:p>
        </w:tc>
        <w:tc>
          <w:tcPr>
            <w:tcW w:type="dxa" w:w="36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Primer hallazgo que toca integridad de datos, no solo presentación</w:t>
            </w:r>
          </w:p>
        </w:tc>
      </w:tr>
      <w:tr>
        <w:tc>
          <w:tcPr>
            <w:tcW w:type="dxa" w:w="140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Reportes</w:t>
            </w:r>
          </w:p>
        </w:tc>
        <w:tc>
          <w:tcPr>
            <w:tcW w:type="dxa" w:w="436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El Excel descarga con las hojas DETALLE y PROYECTO vacías</w:t>
            </w:r>
          </w:p>
        </w:tc>
        <w:tc>
          <w:tcPr>
            <w:tcW w:type="dxa" w:w="360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La trazabilidad prometida no se puebla (el esquema sí es correcto)</w:t>
            </w:r>
          </w:p>
        </w:tc>
      </w:tr>
    </w:tbl>
    <w:p>
      <w:pPr>
        <w:pStyle w:val="Heading2"/>
        <w:spacing w:after="120" w:before="240"/>
      </w:pPr>
      <w:r>
        <w:rPr>
          <w:rFonts w:ascii="Calibri" w:cs="Calibri" w:eastAsia="Calibri" w:hAnsi="Calibri"/>
          <w:b/>
          <w:bCs/>
          <w:color w:val="2E5496"/>
        </w:rPr>
        <w:t xml:space="preserve">15. Los dos gaps estructurales</w:t>
      </w:r>
    </w:p>
    <w:p>
      <w:pPr>
        <w:spacing w:after="120" w:line="276"/>
        <w:jc w:val="both"/>
      </w:pPr>
      <w:r>
        <w:rPr>
          <w:rFonts w:ascii="Calibri" w:cs="Calibri" w:eastAsia="Calibri" w:hAnsi="Calibri"/>
          <w:b/>
          <w:bCs/>
          <w:sz w:val="22"/>
          <w:szCs w:val="22"/>
        </w:rPr>
        <w:t xml:space="preserve">E-1 · El wizard no es MGA. </w:t>
      </w:r>
      <w:r>
        <w:rPr>
          <w:rFonts w:ascii="Calibri" w:cs="Calibri" w:eastAsia="Calibri" w:hAnsi="Calibri"/>
          <w:sz w:val="22"/>
          <w:szCs w:val="22"/>
        </w:rPr>
        <w:t xml:space="preserve">Los cinco pasos actuales (Identificación → Presupuesto → Impacto → Cronograma → Documentos) no incluyen los objetos propios de la MGA: árbol de problemas, árbol de objetivos, alternativas, cadena de valor, indicadores de producto y gestión. Esto importa porque el diferenciador vendido frente a MGA Web era precisamente la coherencia problema→objetivos→cadena→indicadores asistida por IA. Recomendación: verificar si la estructura MGA vive dentro de «Generar proyecto» (formulario simple como input, dossier MGA como output).</w:t>
      </w:r>
    </w:p>
    <w:p>
      <w:pPr>
        <w:spacing w:after="120" w:line="276"/>
        <w:jc w:val="both"/>
      </w:pPr>
      <w:r>
        <w:rPr>
          <w:rFonts w:ascii="Calibri" w:cs="Calibri" w:eastAsia="Calibri" w:hAnsi="Calibri"/>
          <w:b/>
          <w:bCs/>
          <w:sz w:val="22"/>
          <w:szCs w:val="22"/>
        </w:rPr>
        <w:t xml:space="preserve">E-2 · No existe formalización jurídica. </w:t>
      </w:r>
      <w:r>
        <w:rPr>
          <w:rFonts w:ascii="Calibri" w:cs="Calibri" w:eastAsia="Calibri" w:hAnsi="Calibri"/>
          <w:sz w:val="22"/>
          <w:szCs w:val="22"/>
        </w:rPr>
        <w:t xml:space="preserve">El flujo termina en «Enviar Proyecto» sin identidad del representante legal, sin declaración de veracidad y sin la autorización de endeudamiento del Concejo (Ley 358/819) que la ruta de crédito —el negocio de Bancolombia— exige. Recomendación: un paso 6 de formalización con datos del representante legal, declaración de veracidad, carga del acuerdo del Concejo cuando el vehículo sea crédito, y constancia de radicación con sello de tiempo.</w:t>
      </w:r>
    </w:p>
    <w:p>
      <w:pPr>
        <w:pStyle w:val="Heading2"/>
        <w:spacing w:after="120" w:before="240"/>
      </w:pPr>
      <w:r>
        <w:rPr>
          <w:rFonts w:ascii="Calibri" w:cs="Calibri" w:eastAsia="Calibri" w:hAnsi="Calibri"/>
          <w:b/>
          <w:bCs/>
          <w:color w:val="2E5496"/>
        </w:rPr>
        <w:t xml:space="preserve">16. Patrones transversales y decisiones de doctrina</w:t>
      </w:r>
    </w:p>
    <w:p>
      <w:pPr>
        <w:pStyle w:val="ListParagraph"/>
        <w:numPr>
          <w:ilvl w:val="0"/>
          <w:numId w:val="2"/>
        </w:numPr>
        <w:spacing w:after="80" w:line="276"/>
        <w:jc w:val="both"/>
      </w:pPr>
      <w:r>
        <w:rPr>
          <w:rFonts w:ascii="Calibri" w:cs="Calibri" w:eastAsia="Calibri" w:hAnsi="Calibri"/>
          <w:b/>
          <w:bCs/>
          <w:sz w:val="22"/>
          <w:szCs w:val="22"/>
        </w:rPr>
        <w:t xml:space="preserve">Fallas silenciosas: </w:t>
      </w:r>
      <w:r>
        <w:rPr>
          <w:rFonts w:ascii="Calibri" w:cs="Calibri" w:eastAsia="Calibri" w:hAnsi="Calibri"/>
          <w:sz w:val="22"/>
          <w:szCs w:val="22"/>
        </w:rPr>
        <w:t xml:space="preserve">sugerencia que no aplica, envío que no envía, generación que no genera —y en ninguno el sistema dice por qué. Todo cambio de estado debería dar feedback.</w:t>
      </w:r>
    </w:p>
    <w:p>
      <w:pPr>
        <w:pStyle w:val="ListParagraph"/>
        <w:numPr>
          <w:ilvl w:val="0"/>
          <w:numId w:val="2"/>
        </w:numPr>
        <w:spacing w:after="80" w:line="276"/>
        <w:jc w:val="both"/>
      </w:pPr>
      <w:r>
        <w:rPr>
          <w:rFonts w:ascii="Calibri" w:cs="Calibri" w:eastAsia="Calibri" w:hAnsi="Calibri"/>
          <w:b/>
          <w:bCs/>
          <w:sz w:val="22"/>
          <w:szCs w:val="22"/>
        </w:rPr>
        <w:t xml:space="preserve">Inconsistencia de datos: </w:t>
      </w:r>
      <w:r>
        <w:rPr>
          <w:rFonts w:ascii="Calibri" w:cs="Calibri" w:eastAsia="Calibri" w:hAnsi="Calibri"/>
          <w:sz w:val="22"/>
          <w:szCs w:val="22"/>
        </w:rPr>
        <w:t xml:space="preserve">el IGM-B de Tumaco aparece como 48 en el mapa y 60 en el matchmaking; el MDM está congelado en 2020 mientras la UI habla en presente; notación monetaria mezclada (M/MM/k). Con el producto ya operando, la consistencia del dato ES el producto.</w:t>
      </w:r>
    </w:p>
    <w:p>
      <w:pPr>
        <w:pStyle w:val="ListParagraph"/>
        <w:numPr>
          <w:ilvl w:val="0"/>
          <w:numId w:val="2"/>
        </w:numPr>
        <w:spacing w:after="80" w:line="276"/>
        <w:jc w:val="both"/>
      </w:pPr>
      <w:r>
        <w:rPr>
          <w:rFonts w:ascii="Calibri" w:cs="Calibri" w:eastAsia="Calibri" w:hAnsi="Calibri"/>
          <w:b/>
          <w:bCs/>
          <w:sz w:val="22"/>
          <w:szCs w:val="22"/>
        </w:rPr>
        <w:t xml:space="preserve">Roles sin diferenciar: </w:t>
      </w:r>
      <w:r>
        <w:rPr>
          <w:rFonts w:ascii="Calibri" w:cs="Calibri" w:eastAsia="Calibri" w:hAnsi="Calibri"/>
          <w:sz w:val="22"/>
          <w:szCs w:val="22"/>
        </w:rPr>
        <w:t xml:space="preserve">municipio y entidad comparten el mismo menú y solo cambia el seed; un municipio puede crear convocatorias (no debería); posible fuga de datos entre organizaciones a verificar.</w:t>
      </w:r>
    </w:p>
    <w:p>
      <w:pPr>
        <w:pStyle w:val="ListParagraph"/>
        <w:numPr>
          <w:ilvl w:val="0"/>
          <w:numId w:val="2"/>
        </w:numPr>
        <w:spacing w:after="80" w:line="276"/>
        <w:jc w:val="both"/>
      </w:pPr>
      <w:r>
        <w:rPr>
          <w:rFonts w:ascii="Calibri" w:cs="Calibri" w:eastAsia="Calibri" w:hAnsi="Calibri"/>
          <w:b/>
          <w:bCs/>
          <w:sz w:val="22"/>
          <w:szCs w:val="22"/>
        </w:rPr>
        <w:t xml:space="preserve">El riesgo de redlining: </w:t>
      </w:r>
      <w:r>
        <w:rPr>
          <w:rFonts w:ascii="Calibri" w:cs="Calibri" w:eastAsia="Calibri" w:hAnsi="Calibri"/>
          <w:sz w:val="22"/>
          <w:szCs w:val="22"/>
        </w:rPr>
        <w:t xml:space="preserve">etiquetas como «perfil premium para crédito territorial» convierten el IGM-B en scoring crediticio que excluiría a los municipios de menor capacidad. La doctrina acordada es reencuadrarlo como lenguaje de fortalecimiento de capacidades («acompañamiento estándar / intensivo»), no de elegibilidad de crédito.</w:t>
      </w:r>
    </w:p>
    <w:p>
      <w:r>
        <w:br w:type="page"/>
      </w:r>
    </w:p>
    <w:p>
      <w:pPr>
        <w:pStyle w:val="Heading1"/>
        <w:spacing w:after="160" w:before="320"/>
      </w:pPr>
      <w:r>
        <w:rPr>
          <w:rFonts w:ascii="Calibri" w:cs="Calibri" w:eastAsia="Calibri" w:hAnsi="Calibri"/>
          <w:b/>
          <w:bCs/>
          <w:color w:val="1F3864"/>
        </w:rPr>
        <w:t xml:space="preserve">Parte V. La evolución del Anexo 02 (marzo → mayo)</w:t>
      </w:r>
    </w:p>
    <w:p>
      <w:pPr>
        <w:spacing w:after="120" w:line="276"/>
        <w:jc w:val="both"/>
      </w:pPr>
      <w:r>
        <w:rPr>
          <w:rFonts w:ascii="Calibri" w:cs="Calibri" w:eastAsia="Calibri" w:hAnsi="Calibri"/>
          <w:sz w:val="22"/>
          <w:szCs w:val="22"/>
        </w:rPr>
        <w:t xml:space="preserve">El Anexo 02 —la propuesta formal de la convocatoria— tuvo dos versiones principales. Comparar su estructura muestra, en concreto, las modificaciones que se hicieron en respuesta a las recomendaciones de Transferencia. La versión de mayo es sustancialmente más extensa y comercial que la de marzo.</w:t>
      </w:r>
    </w:p>
    <w:tbl>
      <w:tblPr>
        <w:tblW w:type="dxa" w:w="9360"/>
        <w:tblBorders>
          <w:top w:val="single" w:color="AAAAAA" w:sz="2"/>
          <w:left w:val="single" w:color="AAAAAA" w:sz="2"/>
          <w:bottom w:val="single" w:color="AAAAAA" w:sz="2"/>
          <w:right w:val="single" w:color="AAAAAA" w:sz="2"/>
          <w:insideH w:val="single" w:color="CCCCCC" w:sz="1"/>
          <w:insideV w:val="single" w:color="CCCCCC" w:sz="1"/>
        </w:tblBorders>
      </w:tblPr>
      <w:tblGrid>
        <w:gridCol w:w="1700"/>
        <w:gridCol w:w="3060"/>
        <w:gridCol w:w="4600"/>
      </w:tblGrid>
      <w:tr>
        <w:trPr>
          <w:tblHeader/>
        </w:trPr>
        <w:tc>
          <w:tcPr>
            <w:tcW w:type="dxa" w:w="1700"/>
            <w:shd w:fill="2E5496" w:val="clear"/>
            <w:tcMar>
              <w:top w:type="dxa" w:w="60"/>
              <w:left w:type="dxa" w:w="90"/>
              <w:bottom w:type="dxa" w:w="60"/>
              <w:right w:type="dxa" w:w="90"/>
            </w:tcMar>
            <w:vAlign w:val="center"/>
          </w:tcPr>
          <w:p>
            <w:pPr>
              <w:spacing w:after="20" w:line="250"/>
              <w:jc w:val="center"/>
            </w:pPr>
            <w:r>
              <w:rPr>
                <w:rFonts w:ascii="Calibri" w:cs="Calibri" w:eastAsia="Calibri" w:hAnsi="Calibri"/>
                <w:b/>
                <w:bCs/>
                <w:color w:val="FFFFFF"/>
                <w:sz w:val="20"/>
                <w:szCs w:val="20"/>
              </w:rPr>
              <w:t xml:space="preserve">Dimensión</w:t>
            </w:r>
          </w:p>
        </w:tc>
        <w:tc>
          <w:tcPr>
            <w:tcW w:type="dxa" w:w="3060"/>
            <w:shd w:fill="2E5496" w:val="clear"/>
            <w:tcMar>
              <w:top w:type="dxa" w:w="60"/>
              <w:left w:type="dxa" w:w="90"/>
              <w:bottom w:type="dxa" w:w="60"/>
              <w:right w:type="dxa" w:w="90"/>
            </w:tcMar>
            <w:vAlign w:val="center"/>
          </w:tcPr>
          <w:p>
            <w:pPr>
              <w:spacing w:after="20" w:line="250"/>
              <w:jc w:val="center"/>
            </w:pPr>
            <w:r>
              <w:rPr>
                <w:rFonts w:ascii="Calibri" w:cs="Calibri" w:eastAsia="Calibri" w:hAnsi="Calibri"/>
                <w:b/>
                <w:bCs/>
                <w:color w:val="FFFFFF"/>
                <w:sz w:val="20"/>
                <w:szCs w:val="20"/>
              </w:rPr>
              <w:t xml:space="preserve">Versión 7 de marzo</w:t>
            </w:r>
          </w:p>
        </w:tc>
        <w:tc>
          <w:tcPr>
            <w:tcW w:type="dxa" w:w="4600"/>
            <w:shd w:fill="2E5496" w:val="clear"/>
            <w:tcMar>
              <w:top w:type="dxa" w:w="60"/>
              <w:left w:type="dxa" w:w="90"/>
              <w:bottom w:type="dxa" w:w="60"/>
              <w:right w:type="dxa" w:w="90"/>
            </w:tcMar>
            <w:vAlign w:val="center"/>
          </w:tcPr>
          <w:p>
            <w:pPr>
              <w:spacing w:after="20" w:line="250"/>
              <w:jc w:val="center"/>
            </w:pPr>
            <w:r>
              <w:rPr>
                <w:rFonts w:ascii="Calibri" w:cs="Calibri" w:eastAsia="Calibri" w:hAnsi="Calibri"/>
                <w:b/>
                <w:bCs/>
                <w:color w:val="FFFFFF"/>
                <w:sz w:val="20"/>
                <w:szCs w:val="20"/>
              </w:rPr>
              <w:t xml:space="preserve">Versión 1 de mayo (final)</w:t>
            </w:r>
          </w:p>
        </w:tc>
      </w:tr>
      <w:tr>
        <w:tc>
          <w:tcPr>
            <w:tcW w:type="dxa" w:w="17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Categoría</w:t>
            </w:r>
          </w:p>
        </w:tc>
        <w:tc>
          <w:tcPr>
            <w:tcW w:type="dxa" w:w="306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C (desarrollo de conocimiento)</w:t>
            </w:r>
          </w:p>
        </w:tc>
        <w:tc>
          <w:tcPr>
            <w:tcW w:type="dxa" w:w="46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B (alistamiento comercial)</w:t>
            </w:r>
          </w:p>
        </w:tc>
      </w:tr>
      <w:tr>
        <w:tc>
          <w:tcPr>
            <w:tcW w:type="dxa" w:w="170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Enfoque</w:t>
            </w:r>
          </w:p>
        </w:tc>
        <w:tc>
          <w:tcPr>
            <w:tcW w:type="dxa" w:w="306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Desarrollo tecnológico</w:t>
            </w:r>
          </w:p>
        </w:tc>
        <w:tc>
          <w:tcPr>
            <w:tcW w:type="dxa" w:w="460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Validación de mercado y pilotos</w:t>
            </w:r>
          </w:p>
        </w:tc>
      </w:tr>
      <w:tr>
        <w:tc>
          <w:tcPr>
            <w:tcW w:type="dxa" w:w="17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Mercado</w:t>
            </w:r>
          </w:p>
        </w:tc>
        <w:tc>
          <w:tcPr>
            <w:tcW w:type="dxa" w:w="306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Presentación general</w:t>
            </w:r>
          </w:p>
        </w:tc>
        <w:tc>
          <w:tcPr>
            <w:tcW w:type="dxa" w:w="46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TAM/SAM/SOM detallado con fuentes oficiales y APA</w:t>
            </w:r>
          </w:p>
        </w:tc>
      </w:tr>
      <w:tr>
        <w:tc>
          <w:tcPr>
            <w:tcW w:type="dxa" w:w="170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Competencia</w:t>
            </w:r>
          </w:p>
        </w:tc>
        <w:tc>
          <w:tcPr>
            <w:tcW w:type="dxa" w:w="306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Ausente</w:t>
            </w:r>
          </w:p>
        </w:tc>
        <w:tc>
          <w:tcPr>
            <w:tcW w:type="dxa" w:w="460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Análisis competitivo con mapa del mercado y atributos diferenciadores</w:t>
            </w:r>
          </w:p>
        </w:tc>
      </w:tr>
      <w:tr>
        <w:tc>
          <w:tcPr>
            <w:tcW w:type="dxa" w:w="17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Producto</w:t>
            </w:r>
          </w:p>
        </w:tc>
        <w:tc>
          <w:tcPr>
            <w:tcW w:type="dxa" w:w="306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Explicación técnica</w:t>
            </w:r>
          </w:p>
        </w:tc>
        <w:tc>
          <w:tcPr>
            <w:tcW w:type="dxa" w:w="46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Caso de uso narrativo («un día en la vida del funcionario»)</w:t>
            </w:r>
          </w:p>
        </w:tc>
      </w:tr>
      <w:tr>
        <w:tc>
          <w:tcPr>
            <w:tcW w:type="dxa" w:w="170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CRL</w:t>
            </w:r>
          </w:p>
        </w:tc>
        <w:tc>
          <w:tcPr>
            <w:tcW w:type="dxa" w:w="306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CRL 5 general</w:t>
            </w:r>
          </w:p>
        </w:tc>
        <w:tc>
          <w:tcPr>
            <w:tcW w:type="dxa" w:w="460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CRL 5 con Lean Canvas, tabla de evidencias inline y plan a CRL 6 (6 hitos)</w:t>
            </w:r>
          </w:p>
        </w:tc>
      </w:tr>
      <w:tr>
        <w:tc>
          <w:tcPr>
            <w:tcW w:type="dxa" w:w="17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Presupuesto</w:t>
            </w:r>
          </w:p>
        </w:tc>
        <w:tc>
          <w:tcPr>
            <w:tcW w:type="dxa" w:w="306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Estructura básica</w:t>
            </w:r>
          </w:p>
        </w:tc>
        <w:tc>
          <w:tcPr>
            <w:tcW w:type="dxa" w:w="46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Detalle por rubro (personal, equipos, servicios), contrapartida cuantificada</w:t>
            </w:r>
          </w:p>
        </w:tc>
      </w:tr>
      <w:tr>
        <w:tc>
          <w:tcPr>
            <w:tcW w:type="dxa" w:w="170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Cronograma</w:t>
            </w:r>
          </w:p>
        </w:tc>
        <w:tc>
          <w:tcPr>
            <w:tcW w:type="dxa" w:w="306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Simple</w:t>
            </w:r>
          </w:p>
        </w:tc>
        <w:tc>
          <w:tcPr>
            <w:tcW w:type="dxa" w:w="460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Con hitos verificables y planes de contingencia por riesgo</w:t>
            </w:r>
          </w:p>
        </w:tc>
      </w:tr>
      <w:tr>
        <w:tc>
          <w:tcPr>
            <w:tcW w:type="dxa" w:w="17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PI</w:t>
            </w:r>
          </w:p>
        </w:tc>
        <w:tc>
          <w:tcPr>
            <w:tcW w:type="dxa" w:w="306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Registro de software</w:t>
            </w:r>
          </w:p>
        </w:tc>
        <w:tc>
          <w:tcPr>
            <w:tcW w:type="dxa" w:w="46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 registro de marca y mecanismos de transferencia</w:t>
            </w:r>
          </w:p>
        </w:tc>
      </w:tr>
      <w:tr>
        <w:tc>
          <w:tcPr>
            <w:tcW w:type="dxa" w:w="170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Extensión</w:t>
            </w:r>
          </w:p>
        </w:tc>
        <w:tc>
          <w:tcPr>
            <w:tcW w:type="dxa" w:w="306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 2.190 líneas</w:t>
            </w:r>
          </w:p>
        </w:tc>
        <w:tc>
          <w:tcPr>
            <w:tcW w:type="dxa" w:w="460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 3.375 líneas</w:t>
            </w:r>
          </w:p>
        </w:tc>
      </w:tr>
    </w:tbl>
    <w:p>
      <w:pPr>
        <w:spacing w:after="80"/>
      </w:pPr>
    </w:p>
    <w:p>
      <w:pPr>
        <w:spacing w:after="120" w:line="276"/>
        <w:jc w:val="both"/>
      </w:pPr>
      <w:r>
        <w:rPr>
          <w:rFonts w:ascii="Calibri" w:cs="Calibri" w:eastAsia="Calibri" w:hAnsi="Calibri"/>
          <w:sz w:val="22"/>
          <w:szCs w:val="22"/>
        </w:rPr>
        <w:t xml:space="preserve">En síntesis, las modificaciones del anexo respondieron una a una a las observaciones del pre-filtro: migración de categoría, refuerzo de evidencia inline (no solo en anexos), análisis de mercado y competencia, caso narrativo para evaluadores no técnicos, formalización del rol de los aliados, aportes cuantificables del aliado en el presupuesto, y una matriz explícita de respuesta a cada comentario. Todo ceñido a lo comprometido en «promesas.docx».</w:t>
      </w:r>
    </w:p>
    <w:p>
      <w:r>
        <w:br w:type="page"/>
      </w:r>
    </w:p>
    <w:p>
      <w:pPr>
        <w:pStyle w:val="Heading1"/>
        <w:spacing w:after="160" w:before="320"/>
      </w:pPr>
      <w:r>
        <w:rPr>
          <w:rFonts w:ascii="Calibri" w:cs="Calibri" w:eastAsia="Calibri" w:hAnsi="Calibri"/>
          <w:b/>
          <w:bCs/>
          <w:color w:val="1F3864"/>
        </w:rPr>
        <w:t xml:space="preserve">Parte VI. El marco metodológico Lab to Market</w:t>
      </w:r>
    </w:p>
    <w:p>
      <w:pPr>
        <w:spacing w:after="120" w:line="276"/>
        <w:jc w:val="both"/>
      </w:pPr>
      <w:r>
        <w:rPr>
          <w:rFonts w:ascii="Calibri" w:cs="Calibri" w:eastAsia="Calibri" w:hAnsi="Calibri"/>
          <w:sz w:val="22"/>
          <w:szCs w:val="22"/>
        </w:rPr>
        <w:t xml:space="preserve">Todo el trabajo de descubrimiento, validación y pitch de PuBlitec se desarrolla dentro de un programa estructurado de EAFIT con </w:t>
      </w:r>
      <w:r>
        <w:rPr>
          <w:rFonts w:ascii="Calibri" w:cs="Calibri" w:eastAsia="Calibri" w:hAnsi="Calibri"/>
          <w:b/>
          <w:bCs/>
          <w:sz w:val="22"/>
          <w:szCs w:val="22"/>
        </w:rPr>
        <w:t xml:space="preserve">metodología de Georgia Tech</w:t>
      </w:r>
      <w:r>
        <w:rPr>
          <w:rFonts w:ascii="Calibri" w:cs="Calibri" w:eastAsia="Calibri" w:hAnsi="Calibri"/>
          <w:sz w:val="22"/>
          <w:szCs w:val="22"/>
        </w:rPr>
        <w:t xml:space="preserve">. Conocer ese marco ayuda a ubicar cada entregable en su lugar y a entender qué falta por hacer. El programa tiene seis fases y una fecha de cierre concreta.</w:t>
      </w:r>
    </w:p>
    <w:p>
      <w:pPr>
        <w:pStyle w:val="Heading2"/>
        <w:spacing w:after="120" w:before="240"/>
      </w:pPr>
      <w:r>
        <w:rPr>
          <w:rFonts w:ascii="Calibri" w:cs="Calibri" w:eastAsia="Calibri" w:hAnsi="Calibri"/>
          <w:b/>
          <w:bCs/>
          <w:color w:val="2E5496"/>
        </w:rPr>
        <w:t xml:space="preserve">17. Las seis fases del programa</w:t>
      </w:r>
    </w:p>
    <w:tbl>
      <w:tblPr>
        <w:tblW w:type="dxa" w:w="9360"/>
        <w:tblBorders>
          <w:top w:val="single" w:color="AAAAAA" w:sz="2"/>
          <w:left w:val="single" w:color="AAAAAA" w:sz="2"/>
          <w:bottom w:val="single" w:color="AAAAAA" w:sz="2"/>
          <w:right w:val="single" w:color="AAAAAA" w:sz="2"/>
          <w:insideH w:val="single" w:color="CCCCCC" w:sz="1"/>
          <w:insideV w:val="single" w:color="CCCCCC" w:sz="1"/>
        </w:tblBorders>
      </w:tblPr>
      <w:tblGrid>
        <w:gridCol w:w="3600"/>
        <w:gridCol w:w="3960"/>
        <w:gridCol w:w="1800"/>
      </w:tblGrid>
      <w:tr>
        <w:trPr>
          <w:tblHeader/>
        </w:trPr>
        <w:tc>
          <w:tcPr>
            <w:tcW w:type="dxa" w:w="3600"/>
            <w:shd w:fill="2E5496" w:val="clear"/>
            <w:tcMar>
              <w:top w:type="dxa" w:w="60"/>
              <w:left w:type="dxa" w:w="90"/>
              <w:bottom w:type="dxa" w:w="60"/>
              <w:right w:type="dxa" w:w="90"/>
            </w:tcMar>
            <w:vAlign w:val="center"/>
          </w:tcPr>
          <w:p>
            <w:pPr>
              <w:spacing w:after="20" w:line="250"/>
              <w:jc w:val="center"/>
            </w:pPr>
            <w:r>
              <w:rPr>
                <w:rFonts w:ascii="Calibri" w:cs="Calibri" w:eastAsia="Calibri" w:hAnsi="Calibri"/>
                <w:b/>
                <w:bCs/>
                <w:color w:val="FFFFFF"/>
                <w:sz w:val="20"/>
                <w:szCs w:val="20"/>
              </w:rPr>
              <w:t xml:space="preserve">Fase</w:t>
            </w:r>
          </w:p>
        </w:tc>
        <w:tc>
          <w:tcPr>
            <w:tcW w:type="dxa" w:w="3960"/>
            <w:shd w:fill="2E5496" w:val="clear"/>
            <w:tcMar>
              <w:top w:type="dxa" w:w="60"/>
              <w:left w:type="dxa" w:w="90"/>
              <w:bottom w:type="dxa" w:w="60"/>
              <w:right w:type="dxa" w:w="90"/>
            </w:tcMar>
            <w:vAlign w:val="center"/>
          </w:tcPr>
          <w:p>
            <w:pPr>
              <w:spacing w:after="20" w:line="250"/>
              <w:jc w:val="center"/>
            </w:pPr>
            <w:r>
              <w:rPr>
                <w:rFonts w:ascii="Calibri" w:cs="Calibri" w:eastAsia="Calibri" w:hAnsi="Calibri"/>
                <w:b/>
                <w:bCs/>
                <w:color w:val="FFFFFF"/>
                <w:sz w:val="20"/>
                <w:szCs w:val="20"/>
              </w:rPr>
              <w:t xml:space="preserve">Enfoque</w:t>
            </w:r>
          </w:p>
        </w:tc>
        <w:tc>
          <w:tcPr>
            <w:tcW w:type="dxa" w:w="1800"/>
            <w:shd w:fill="2E5496" w:val="clear"/>
            <w:tcMar>
              <w:top w:type="dxa" w:w="60"/>
              <w:left w:type="dxa" w:w="90"/>
              <w:bottom w:type="dxa" w:w="60"/>
              <w:right w:type="dxa" w:w="90"/>
            </w:tcMar>
            <w:vAlign w:val="center"/>
          </w:tcPr>
          <w:p>
            <w:pPr>
              <w:spacing w:after="20" w:line="250"/>
              <w:jc w:val="center"/>
            </w:pPr>
            <w:r>
              <w:rPr>
                <w:rFonts w:ascii="Calibri" w:cs="Calibri" w:eastAsia="Calibri" w:hAnsi="Calibri"/>
                <w:b/>
                <w:bCs/>
                <w:color w:val="FFFFFF"/>
                <w:sz w:val="20"/>
                <w:szCs w:val="20"/>
              </w:rPr>
              <w:t xml:space="preserve">Fecha</w:t>
            </w:r>
          </w:p>
        </w:tc>
      </w:tr>
      <w:tr>
        <w:tc>
          <w:tcPr>
            <w:tcW w:type="dxa" w:w="36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1. Fundamentos para la transferencia tecnológica</w:t>
            </w:r>
          </w:p>
        </w:tc>
        <w:tc>
          <w:tcPr>
            <w:tcW w:type="dxa" w:w="396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Bases de la transferencia de conocimiento</w:t>
            </w:r>
          </w:p>
        </w:tc>
        <w:tc>
          <w:tcPr>
            <w:tcW w:type="dxa" w:w="18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4 de junio</w:t>
            </w:r>
          </w:p>
        </w:tc>
      </w:tr>
      <w:tr>
        <w:tc>
          <w:tcPr>
            <w:tcW w:type="dxa" w:w="360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2. Descubrimiento y validación del cliente</w:t>
            </w:r>
          </w:p>
        </w:tc>
        <w:tc>
          <w:tcPr>
            <w:tcW w:type="dxa" w:w="396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Necesidades del mercado, hipótesis y entrevistas</w:t>
            </w:r>
          </w:p>
        </w:tc>
        <w:tc>
          <w:tcPr>
            <w:tcW w:type="dxa" w:w="180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11 de junio</w:t>
            </w:r>
          </w:p>
        </w:tc>
      </w:tr>
      <w:tr>
        <w:tc>
          <w:tcPr>
            <w:tcW w:type="dxa" w:w="36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3. De investigación a innovación</w:t>
            </w:r>
          </w:p>
        </w:tc>
        <w:tc>
          <w:tcPr>
            <w:tcW w:type="dxa" w:w="396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Del laboratorio al mercado, MVP, alianzas y pitch</w:t>
            </w:r>
          </w:p>
        </w:tc>
        <w:tc>
          <w:tcPr>
            <w:tcW w:type="dxa" w:w="18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18 de junio</w:t>
            </w:r>
          </w:p>
        </w:tc>
      </w:tr>
      <w:tr>
        <w:tc>
          <w:tcPr>
            <w:tcW w:type="dxa" w:w="360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4. Herramientas para el desarrollo de negocios</w:t>
            </w:r>
          </w:p>
        </w:tc>
        <w:tc>
          <w:tcPr>
            <w:tcW w:type="dxa" w:w="396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PESTEL y Business Model Canvas</w:t>
            </w:r>
          </w:p>
        </w:tc>
        <w:tc>
          <w:tcPr>
            <w:tcW w:type="dxa" w:w="180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9 de julio</w:t>
            </w:r>
          </w:p>
        </w:tc>
      </w:tr>
      <w:tr>
        <w:tc>
          <w:tcPr>
            <w:tcW w:type="dxa" w:w="36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5. Preparación para la comercialización</w:t>
            </w:r>
          </w:p>
        </w:tc>
        <w:tc>
          <w:tcPr>
            <w:tcW w:type="dxa" w:w="396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Ruta comercial</w:t>
            </w:r>
          </w:p>
        </w:tc>
        <w:tc>
          <w:tcPr>
            <w:tcW w:type="dxa" w:w="1800"/>
            <w:shd w:fill="FFFFFF"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16 de julio</w:t>
            </w:r>
          </w:p>
        </w:tc>
      </w:tr>
      <w:tr>
        <w:tc>
          <w:tcPr>
            <w:tcW w:type="dxa" w:w="360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6. Cierre Lab To Market</w:t>
            </w:r>
          </w:p>
        </w:tc>
        <w:tc>
          <w:tcPr>
            <w:tcW w:type="dxa" w:w="396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Entrega y balance final</w:t>
            </w:r>
          </w:p>
        </w:tc>
        <w:tc>
          <w:tcPr>
            <w:tcW w:type="dxa" w:w="1800"/>
            <w:shd w:fill="F2F2F2" w:val="clear"/>
            <w:tcMar>
              <w:top w:type="dxa" w:w="60"/>
              <w:left w:type="dxa" w:w="90"/>
              <w:bottom w:type="dxa" w:w="60"/>
              <w:right w:type="dxa" w:w="90"/>
            </w:tcMar>
            <w:vAlign w:val="center"/>
          </w:tcPr>
          <w:p>
            <w:pPr>
              <w:spacing w:after="20" w:line="250"/>
              <w:jc w:val="left"/>
            </w:pPr>
            <w:r>
              <w:rPr>
                <w:rFonts w:ascii="Calibri" w:cs="Calibri" w:eastAsia="Calibri" w:hAnsi="Calibri"/>
                <w:b w:val="false"/>
                <w:bCs w:val="false"/>
                <w:color w:val="000000"/>
                <w:sz w:val="19"/>
                <w:szCs w:val="19"/>
              </w:rPr>
              <w:t xml:space="preserve">23 de julio</w:t>
            </w:r>
          </w:p>
        </w:tc>
      </w:tr>
    </w:tbl>
    <w:p>
      <w:pPr>
        <w:pStyle w:val="Heading2"/>
        <w:spacing w:after="120" w:before="240"/>
      </w:pPr>
      <w:r>
        <w:rPr>
          <w:rFonts w:ascii="Calibri" w:cs="Calibri" w:eastAsia="Calibri" w:hAnsi="Calibri"/>
          <w:b/>
          <w:bCs/>
          <w:color w:val="2E5496"/>
        </w:rPr>
        <w:t xml:space="preserve">18. Fase 2 — Descubrimiento y validación del cliente</w:t>
      </w:r>
    </w:p>
    <w:p>
      <w:pPr>
        <w:spacing w:after="120" w:line="276"/>
        <w:jc w:val="both"/>
      </w:pPr>
      <w:r>
        <w:rPr>
          <w:rFonts w:ascii="Calibri" w:cs="Calibri" w:eastAsia="Calibri" w:hAnsi="Calibri"/>
          <w:sz w:val="22"/>
          <w:szCs w:val="22"/>
        </w:rPr>
        <w:t xml:space="preserve">El principio rector: «las respuestas las tiene el mercado; sal del edificio». La metodología opera en </w:t>
      </w:r>
      <w:r>
        <w:rPr>
          <w:rFonts w:ascii="Calibri" w:cs="Calibri" w:eastAsia="Calibri" w:hAnsi="Calibri"/>
          <w:b/>
          <w:bCs/>
          <w:sz w:val="22"/>
          <w:szCs w:val="22"/>
        </w:rPr>
        <w:t xml:space="preserve">dos fases</w:t>
      </w:r>
      <w:r>
        <w:rPr>
          <w:rFonts w:ascii="Calibri" w:cs="Calibri" w:eastAsia="Calibri" w:hAnsi="Calibri"/>
          <w:sz w:val="22"/>
          <w:szCs w:val="22"/>
        </w:rPr>
        <w:t xml:space="preserve">: primero se prueba si el problema que creemos que tienen los clientes es real, doloroso y suficientemente valioso; solo después se prueba si la solución desarrollada lo resuelve. La lógica de fondo, tomada de «Talking to Humans» (Constable, 2014), es que las personas no compran porque entiendan lo que uno hace, sino porque uno entiende lo que ellas hacen, cómo piensan, cómo se comunican, su dolor y su motivación.</w:t>
      </w:r>
    </w:p>
    <w:p>
      <w:pPr>
        <w:spacing w:after="120" w:line="276"/>
        <w:jc w:val="both"/>
      </w:pPr>
      <w:r>
        <w:rPr>
          <w:rFonts w:ascii="Calibri" w:cs="Calibri" w:eastAsia="Calibri" w:hAnsi="Calibri"/>
          <w:sz w:val="22"/>
          <w:szCs w:val="22"/>
        </w:rPr>
        <w:t xml:space="preserve">El descubrimiento de clientes NO es: un discurso de ventas (no es convencer, sino aprender), confirmar lo que ya se sabe, una oportunidad para hablar de uno mismo, ni pedirle a las personas que diseñen el producto. De ahí las dos trampas que la guía de validación de PuBlitec vigila: guiar al entrevistado y tratar la especulación como confirmación.</w:t>
      </w:r>
    </w:p>
    <w:p>
      <w:pPr>
        <w:spacing w:after="120" w:line="276"/>
        <w:jc w:val="both"/>
      </w:pPr>
      <w:r>
        <w:rPr>
          <w:rFonts w:ascii="Calibri" w:cs="Calibri" w:eastAsia="Calibri" w:hAnsi="Calibri"/>
          <w:sz w:val="22"/>
          <w:szCs w:val="22"/>
        </w:rPr>
        <w:t xml:space="preserve">El modelo de roles es el T/U/C/S/B/I que ya aparece en la guía comercial: </w:t>
      </w:r>
      <w:r>
        <w:rPr>
          <w:rFonts w:ascii="Calibri" w:cs="Calibri" w:eastAsia="Calibri" w:hAnsi="Calibri"/>
          <w:b/>
          <w:bCs/>
          <w:sz w:val="22"/>
          <w:szCs w:val="22"/>
        </w:rPr>
        <w:t xml:space="preserve">T</w:t>
      </w:r>
      <w:r>
        <w:rPr>
          <w:rFonts w:ascii="Calibri" w:cs="Calibri" w:eastAsia="Calibri" w:hAnsi="Calibri"/>
          <w:sz w:val="22"/>
          <w:szCs w:val="22"/>
        </w:rPr>
        <w:t xml:space="preserve">omador de decisiones, </w:t>
      </w:r>
      <w:r>
        <w:rPr>
          <w:rFonts w:ascii="Calibri" w:cs="Calibri" w:eastAsia="Calibri" w:hAnsi="Calibri"/>
          <w:b/>
          <w:bCs/>
          <w:sz w:val="22"/>
          <w:szCs w:val="22"/>
        </w:rPr>
        <w:t xml:space="preserve">U</w:t>
      </w:r>
      <w:r>
        <w:rPr>
          <w:rFonts w:ascii="Calibri" w:cs="Calibri" w:eastAsia="Calibri" w:hAnsi="Calibri"/>
          <w:sz w:val="22"/>
          <w:szCs w:val="22"/>
        </w:rPr>
        <w:t xml:space="preserve">suario final, </w:t>
      </w:r>
      <w:r>
        <w:rPr>
          <w:rFonts w:ascii="Calibri" w:cs="Calibri" w:eastAsia="Calibri" w:hAnsi="Calibri"/>
          <w:b/>
          <w:bCs/>
          <w:sz w:val="22"/>
          <w:szCs w:val="22"/>
        </w:rPr>
        <w:t xml:space="preserve">C</w:t>
      </w:r>
      <w:r>
        <w:rPr>
          <w:rFonts w:ascii="Calibri" w:cs="Calibri" w:eastAsia="Calibri" w:hAnsi="Calibri"/>
          <w:sz w:val="22"/>
          <w:szCs w:val="22"/>
        </w:rPr>
        <w:t xml:space="preserve">omprador, </w:t>
      </w:r>
      <w:r>
        <w:rPr>
          <w:rFonts w:ascii="Calibri" w:cs="Calibri" w:eastAsia="Calibri" w:hAnsi="Calibri"/>
          <w:b/>
          <w:bCs/>
          <w:sz w:val="22"/>
          <w:szCs w:val="22"/>
        </w:rPr>
        <w:t xml:space="preserve">S</w:t>
      </w:r>
      <w:r>
        <w:rPr>
          <w:rFonts w:ascii="Calibri" w:cs="Calibri" w:eastAsia="Calibri" w:hAnsi="Calibri"/>
          <w:sz w:val="22"/>
          <w:szCs w:val="22"/>
        </w:rPr>
        <w:t xml:space="preserve">aboteador, </w:t>
      </w:r>
      <w:r>
        <w:rPr>
          <w:rFonts w:ascii="Calibri" w:cs="Calibri" w:eastAsia="Calibri" w:hAnsi="Calibri"/>
          <w:b/>
          <w:bCs/>
          <w:sz w:val="22"/>
          <w:szCs w:val="22"/>
        </w:rPr>
        <w:t xml:space="preserve">B</w:t>
      </w:r>
      <w:r>
        <w:rPr>
          <w:rFonts w:ascii="Calibri" w:cs="Calibri" w:eastAsia="Calibri" w:hAnsi="Calibri"/>
          <w:sz w:val="22"/>
          <w:szCs w:val="22"/>
        </w:rPr>
        <w:t xml:space="preserve">eneficiario e </w:t>
      </w:r>
      <w:r>
        <w:rPr>
          <w:rFonts w:ascii="Calibri" w:cs="Calibri" w:eastAsia="Calibri" w:hAnsi="Calibri"/>
          <w:b/>
          <w:bCs/>
          <w:sz w:val="22"/>
          <w:szCs w:val="22"/>
        </w:rPr>
        <w:t xml:space="preserve">I</w:t>
      </w:r>
      <w:r>
        <w:rPr>
          <w:rFonts w:ascii="Calibri" w:cs="Calibri" w:eastAsia="Calibri" w:hAnsi="Calibri"/>
          <w:sz w:val="22"/>
          <w:szCs w:val="22"/>
        </w:rPr>
        <w:t xml:space="preserve">nfluenciador. Las primeras entrevistas se priorizan con gerentes de nivel medio (roles T y U operativos).</w:t>
      </w:r>
    </w:p>
    <w:p>
      <w:pPr>
        <w:pStyle w:val="Heading2"/>
        <w:spacing w:after="120" w:before="240"/>
      </w:pPr>
      <w:r>
        <w:rPr>
          <w:rFonts w:ascii="Calibri" w:cs="Calibri" w:eastAsia="Calibri" w:hAnsi="Calibri"/>
          <w:b/>
          <w:bCs/>
          <w:color w:val="2E5496"/>
        </w:rPr>
        <w:t xml:space="preserve">19. Fase 3 — De investigación a innovación (18 jun.)</w:t>
      </w:r>
    </w:p>
    <w:p>
      <w:pPr>
        <w:spacing w:after="120" w:line="276"/>
        <w:jc w:val="both"/>
      </w:pPr>
      <w:r>
        <w:rPr>
          <w:rFonts w:ascii="Calibri" w:cs="Calibri" w:eastAsia="Calibri" w:hAnsi="Calibri"/>
          <w:sz w:val="22"/>
          <w:szCs w:val="22"/>
        </w:rPr>
        <w:t xml:space="preserve">La distinción central de esta fase: </w:t>
      </w:r>
      <w:r>
        <w:rPr>
          <w:rFonts w:ascii="Calibri" w:cs="Calibri" w:eastAsia="Calibri" w:hAnsi="Calibri"/>
          <w:b/>
          <w:bCs/>
          <w:sz w:val="22"/>
          <w:szCs w:val="22"/>
        </w:rPr>
        <w:t xml:space="preserve">invención no es innovación</w:t>
      </w:r>
      <w:r>
        <w:rPr>
          <w:rFonts w:ascii="Calibri" w:cs="Calibri" w:eastAsia="Calibri" w:hAnsi="Calibri"/>
          <w:sz w:val="22"/>
          <w:szCs w:val="22"/>
        </w:rPr>
        <w:t xml:space="preserve">. El proceso de invención es crear la solución tecnológica; el proceso de innovación es lograr que esa solución sea usada y tenga impacto tangible. La tecnología por sí sola no garantiza la innovación: es a la vez un habilitador (acelera, reduce costos y riesgos, mejora la colaboración y la decisión basada en datos) y un nodo articulador que debe combinarse con necesidades humanas, modelos de negocio viables y capacidades organizacionales.</w:t>
      </w:r>
    </w:p>
    <w:p>
      <w:pPr>
        <w:spacing w:after="120" w:line="276"/>
        <w:jc w:val="both"/>
      </w:pPr>
      <w:r>
        <w:rPr>
          <w:rFonts w:ascii="Calibri" w:cs="Calibri" w:eastAsia="Calibri" w:hAnsi="Calibri"/>
          <w:sz w:val="22"/>
          <w:szCs w:val="22"/>
        </w:rPr>
        <w:t xml:space="preserve">Aquí se trabajó la distinción MVP vs. prototipo —el prototipo de alta fidelidad dice si la solución se entiende y es usable; el MVP dice si el segmento está dispuesto a comprar y pagar—, los cuatro principios del MVP, las colaboraciones y alianzas, y la introducción al pitch. Es la fase que alimentó el memo de la sesión 4 y la preparación del pitch de PuBlitec (ver Parte III).</w:t>
      </w:r>
    </w:p>
    <w:p>
      <w:pPr>
        <w:pStyle w:val="Heading2"/>
        <w:spacing w:after="120" w:before="240"/>
      </w:pPr>
      <w:r>
        <w:rPr>
          <w:rFonts w:ascii="Calibri" w:cs="Calibri" w:eastAsia="Calibri" w:hAnsi="Calibri"/>
          <w:b/>
          <w:bCs/>
          <w:color w:val="2E5496"/>
        </w:rPr>
        <w:t xml:space="preserve">20. Fase 4 — Herramientas para el desarrollo de negocios (9 jul.)</w:t>
      </w:r>
    </w:p>
    <w:p>
      <w:pPr>
        <w:spacing w:after="120" w:line="276"/>
        <w:jc w:val="both"/>
      </w:pPr>
      <w:r>
        <w:rPr>
          <w:rFonts w:ascii="Calibri" w:cs="Calibri" w:eastAsia="Calibri" w:hAnsi="Calibri"/>
          <w:sz w:val="22"/>
          <w:szCs w:val="22"/>
        </w:rPr>
        <w:t xml:space="preserve">Dos herramientas de análisis. El </w:t>
      </w:r>
      <w:r>
        <w:rPr>
          <w:rFonts w:ascii="Calibri" w:cs="Calibri" w:eastAsia="Calibri" w:hAnsi="Calibri"/>
          <w:b/>
          <w:bCs/>
          <w:sz w:val="22"/>
          <w:szCs w:val="22"/>
        </w:rPr>
        <w:t xml:space="preserve">PESTEL</w:t>
      </w:r>
      <w:r>
        <w:rPr>
          <w:rFonts w:ascii="Calibri" w:cs="Calibri" w:eastAsia="Calibri" w:hAnsi="Calibri"/>
          <w:sz w:val="22"/>
          <w:szCs w:val="22"/>
        </w:rPr>
        <w:t xml:space="preserve"> examina el entorno en seis dimensiones —Político, Económico, Social, Tecnológico, Ecológico-ambiental y Legal—; para PuBlitec, las más relevantes son la política (reforma del SGP, política de gobierno digital), la económica (disponibilidad de crédito territorial), la tecnológica (adopción de IA generativa) y la legal (normativa de IA responsable, Ley 358/819 de endeudamiento). La segunda herramienta es el </w:t>
      </w:r>
      <w:r>
        <w:rPr>
          <w:rFonts w:ascii="Calibri" w:cs="Calibri" w:eastAsia="Calibri" w:hAnsi="Calibri"/>
          <w:b/>
          <w:bCs/>
          <w:sz w:val="22"/>
          <w:szCs w:val="22"/>
        </w:rPr>
        <w:t xml:space="preserve">Business Model Canvas</w:t>
      </w:r>
      <w:r>
        <w:rPr>
          <w:rFonts w:ascii="Calibri" w:cs="Calibri" w:eastAsia="Calibri" w:hAnsi="Calibri"/>
          <w:sz w:val="22"/>
          <w:szCs w:val="22"/>
        </w:rPr>
        <w:t xml:space="preserve">, para estructurar los componentes clave del negocio, coherente con el Lean Canvas ya integrado en el anexo.</w:t>
      </w:r>
    </w:p>
    <w:p>
      <w:pPr>
        <w:pStyle w:val="Heading2"/>
        <w:spacing w:after="120" w:before="240"/>
      </w:pPr>
      <w:r>
        <w:rPr>
          <w:rFonts w:ascii="Calibri" w:cs="Calibri" w:eastAsia="Calibri" w:hAnsi="Calibri"/>
          <w:b/>
          <w:bCs/>
          <w:color w:val="2E5496"/>
        </w:rPr>
        <w:t xml:space="preserve">21. Los prompts de IA para construir la guía de validación</w:t>
      </w:r>
    </w:p>
    <w:p>
      <w:pPr>
        <w:spacing w:after="120" w:line="276"/>
        <w:jc w:val="both"/>
      </w:pPr>
      <w:r>
        <w:rPr>
          <w:rFonts w:ascii="Calibri" w:cs="Calibri" w:eastAsia="Calibri" w:hAnsi="Calibri"/>
          <w:sz w:val="22"/>
          <w:szCs w:val="22"/>
        </w:rPr>
        <w:t xml:space="preserve">El taller entregó una guía de prompts para construir la guía de preguntas de validación con apoyo de IA, en cinco pasos que son exactamente los que estructuran la guía comercial de PuBlitec:</w:t>
      </w:r>
    </w:p>
    <w:p>
      <w:pPr>
        <w:pStyle w:val="ListParagraph"/>
        <w:numPr>
          <w:ilvl w:val="0"/>
          <w:numId w:val="3"/>
        </w:numPr>
        <w:spacing w:after="80" w:line="276"/>
        <w:jc w:val="both"/>
      </w:pPr>
      <w:r>
        <w:rPr>
          <w:rFonts w:ascii="Calibri" w:cs="Calibri" w:eastAsia="Calibri" w:hAnsi="Calibri"/>
          <w:sz w:val="22"/>
          <w:szCs w:val="22"/>
        </w:rPr>
        <w:t xml:space="preserve">Preparación de insumos (sin IA aún): propuesta de valor, segmento, tipos de usuario, suposiciones e hipótesis. Regla: la IA no debe inferir las suposiciones; deben estar explícitas.</w:t>
      </w:r>
    </w:p>
    <w:p>
      <w:pPr>
        <w:pStyle w:val="ListParagraph"/>
        <w:numPr>
          <w:ilvl w:val="0"/>
          <w:numId w:val="3"/>
        </w:numPr>
        <w:spacing w:after="80" w:line="276"/>
        <w:jc w:val="both"/>
      </w:pPr>
      <w:r>
        <w:rPr>
          <w:rFonts w:ascii="Calibri" w:cs="Calibri" w:eastAsia="Calibri" w:hAnsi="Calibri"/>
          <w:sz w:val="22"/>
          <w:szCs w:val="22"/>
        </w:rPr>
        <w:t xml:space="preserve">Identificación de los ejes de validación (los seis ejes fijos).</w:t>
      </w:r>
    </w:p>
    <w:p>
      <w:pPr>
        <w:pStyle w:val="ListParagraph"/>
        <w:numPr>
          <w:ilvl w:val="0"/>
          <w:numId w:val="3"/>
        </w:numPr>
        <w:spacing w:after="80" w:line="276"/>
        <w:jc w:val="both"/>
      </w:pPr>
      <w:r>
        <w:rPr>
          <w:rFonts w:ascii="Calibri" w:cs="Calibri" w:eastAsia="Calibri" w:hAnsi="Calibri"/>
          <w:sz w:val="22"/>
          <w:szCs w:val="22"/>
        </w:rPr>
        <w:t xml:space="preserve">Construcción de la matriz de hipótesis: una hipótesis por eje, desde la perspectiva del cliente, observable en conversación y sin mencionar la solución.</w:t>
      </w:r>
    </w:p>
    <w:p>
      <w:pPr>
        <w:pStyle w:val="ListParagraph"/>
        <w:numPr>
          <w:ilvl w:val="0"/>
          <w:numId w:val="3"/>
        </w:numPr>
        <w:spacing w:after="80" w:line="276"/>
        <w:jc w:val="both"/>
      </w:pPr>
      <w:r>
        <w:rPr>
          <w:rFonts w:ascii="Calibri" w:cs="Calibri" w:eastAsia="Calibri" w:hAnsi="Calibri"/>
          <w:sz w:val="22"/>
          <w:szCs w:val="22"/>
        </w:rPr>
        <w:t xml:space="preserve">Diseño de la guía núcleo: 2–3 preguntas por eje, neutrales y conversacionales, sin superar 15–18 preguntas.</w:t>
      </w:r>
    </w:p>
    <w:p>
      <w:pPr>
        <w:pStyle w:val="ListParagraph"/>
        <w:numPr>
          <w:ilvl w:val="0"/>
          <w:numId w:val="3"/>
        </w:numPr>
        <w:spacing w:after="80" w:line="276"/>
        <w:jc w:val="both"/>
      </w:pPr>
      <w:r>
        <w:rPr>
          <w:rFonts w:ascii="Calibri" w:cs="Calibri" w:eastAsia="Calibri" w:hAnsi="Calibri"/>
          <w:sz w:val="22"/>
          <w:szCs w:val="22"/>
        </w:rPr>
        <w:t xml:space="preserve">Guías específicas por tipo de usuario: mismo esqueleto, solo cambia el lenguaje y el énfasis.</w:t>
      </w:r>
    </w:p>
    <w:tbl>
      <w:tblPr>
        <w:tblW w:type="pct" w:w="100%"/>
        <w:tblBorders>
          <w:top w:val="single" w:color="1F3864" w:sz="2"/>
          <w:left w:val="single" w:color="1F3864" w:sz="14"/>
          <w:bottom w:val="single" w:color="1F3864" w:sz="2"/>
          <w:right w:val="single" w:color="1F3864" w:sz="2"/>
          <w:insideH w:val="none"/>
          <w:insideV w:val="none"/>
        </w:tblBorders>
      </w:tblPr>
      <w:tblGrid>
        <w:gridCol w:w="9360"/>
      </w:tblGrid>
      <w:tr>
        <w:tc>
          <w:tcPr>
            <w:tcW w:type="dxa" w:w="9360"/>
            <w:shd w:fill="D9E2F3" w:val="clear"/>
            <w:tcMar>
              <w:top w:type="dxa" w:w="100"/>
              <w:left w:type="dxa" w:w="160"/>
              <w:bottom w:type="dxa" w:w="100"/>
              <w:right w:type="dxa" w:w="160"/>
            </w:tcMar>
          </w:tcPr>
          <w:p>
            <w:pPr>
              <w:spacing w:after="60"/>
            </w:pPr>
            <w:r>
              <w:rPr>
                <w:rFonts w:ascii="Calibri" w:cs="Calibri" w:eastAsia="Calibri" w:hAnsi="Calibri"/>
                <w:b/>
                <w:bCs/>
                <w:color w:val="1F3864"/>
                <w:sz w:val="22"/>
                <w:szCs w:val="22"/>
              </w:rPr>
              <w:t xml:space="preserve">Nota</w:t>
            </w:r>
          </w:p>
          <w:p>
            <w:pPr>
              <w:spacing w:after="40"/>
              <w:jc w:val="both"/>
            </w:pPr>
            <w:r>
              <w:rPr>
                <w:rFonts w:ascii="Calibri" w:cs="Calibri" w:eastAsia="Calibri" w:hAnsi="Calibri"/>
                <w:sz w:val="21"/>
                <w:szCs w:val="21"/>
              </w:rPr>
              <w:t xml:space="preserve">Estos prompts son la «receta» metodológica detrás de la Guía de Validación Comercial que el equipo ya produjo. Confirman que ese entregable siguió el protocolo del taller paso a paso.</w:t>
            </w:r>
          </w:p>
        </w:tc>
      </w:tr>
    </w:tbl>
    <w:p>
      <w:pPr>
        <w:pStyle w:val="Heading2"/>
        <w:spacing w:after="120" w:before="240"/>
      </w:pPr>
      <w:r>
        <w:rPr>
          <w:rFonts w:ascii="Calibri" w:cs="Calibri" w:eastAsia="Calibri" w:hAnsi="Calibri"/>
          <w:b/>
          <w:bCs/>
          <w:color w:val="2E5496"/>
        </w:rPr>
        <w:t xml:space="preserve">22. Los entregables de validación pendientes</w:t>
      </w:r>
    </w:p>
    <w:p>
      <w:pPr>
        <w:spacing w:after="120" w:line="276"/>
        <w:jc w:val="both"/>
      </w:pPr>
      <w:r>
        <w:rPr>
          <w:rFonts w:ascii="Calibri" w:cs="Calibri" w:eastAsia="Calibri" w:hAnsi="Calibri"/>
          <w:sz w:val="22"/>
          <w:szCs w:val="22"/>
        </w:rPr>
        <w:t xml:space="preserve">Dos formatos del taller definen lo que el equipo debe producir con las entrevistas comprometidas (mínimo cinco). Hoy están como plantillas en blanco; llenarlos es el trabajo de campo pendiente:</w:t>
      </w:r>
    </w:p>
    <w:p>
      <w:pPr>
        <w:spacing w:after="120" w:line="276"/>
        <w:jc w:val="both"/>
      </w:pPr>
      <w:r>
        <w:rPr>
          <w:rFonts w:ascii="Calibri" w:cs="Calibri" w:eastAsia="Calibri" w:hAnsi="Calibri"/>
          <w:b/>
          <w:bCs/>
          <w:sz w:val="22"/>
          <w:szCs w:val="22"/>
        </w:rPr>
        <w:t xml:space="preserve">Bitácora de Validaciones. </w:t>
      </w:r>
      <w:r>
        <w:rPr>
          <w:rFonts w:ascii="Calibri" w:cs="Calibri" w:eastAsia="Calibri" w:hAnsi="Calibri"/>
          <w:sz w:val="22"/>
          <w:szCs w:val="22"/>
        </w:rPr>
        <w:t xml:space="preserve">Registro entrevista por entrevista: entrevistado, rol, empresa, cargo, fecha, método (semiestructurada), ejes abordados, preguntas, resumen, frases destacadas y conclusiones. Es el insumo crudo.</w:t>
      </w:r>
    </w:p>
    <w:p>
      <w:pPr>
        <w:spacing w:after="120" w:line="276"/>
        <w:jc w:val="both"/>
      </w:pPr>
      <w:r>
        <w:rPr>
          <w:rFonts w:ascii="Calibri" w:cs="Calibri" w:eastAsia="Calibri" w:hAnsi="Calibri"/>
          <w:b/>
          <w:bCs/>
          <w:sz w:val="22"/>
          <w:szCs w:val="22"/>
        </w:rPr>
        <w:t xml:space="preserve">Informe de Validación del Proyecto. </w:t>
      </w:r>
      <w:r>
        <w:rPr>
          <w:rFonts w:ascii="Calibri" w:cs="Calibri" w:eastAsia="Calibri" w:hAnsi="Calibri"/>
          <w:sz w:val="22"/>
          <w:szCs w:val="22"/>
        </w:rPr>
        <w:t xml:space="preserve">Consolida las entrevistas por tipo de validador, e incluye la pieza clave: una </w:t>
      </w:r>
      <w:r>
        <w:rPr>
          <w:rFonts w:ascii="Calibri" w:cs="Calibri" w:eastAsia="Calibri" w:hAnsi="Calibri"/>
          <w:b/>
          <w:bCs/>
          <w:sz w:val="22"/>
          <w:szCs w:val="22"/>
        </w:rPr>
        <w:t xml:space="preserve">matriz de validación de hipótesis</w:t>
      </w:r>
      <w:r>
        <w:rPr>
          <w:rFonts w:ascii="Calibri" w:cs="Calibri" w:eastAsia="Calibri" w:hAnsi="Calibri"/>
          <w:sz w:val="22"/>
          <w:szCs w:val="22"/>
        </w:rPr>
        <w:t xml:space="preserve"> con cuatro estados posibles —Confirmada, Parcialmente confirmada, Evidencia insuficiente, Refutada— más el análisis de puntos clave (precios, inversión, mercado, escalabilidad, modelo de negocio, madurez tecnológica, normatividad, diferenciación), la síntesis de 5–7 hallazgos, los riesgos, y un veredicto final.</w:t>
      </w:r>
    </w:p>
    <w:tbl>
      <w:tblPr>
        <w:tblW w:type="pct" w:w="100%"/>
        <w:tblBorders>
          <w:top w:val="single" w:color="7F6000" w:sz="2"/>
          <w:left w:val="single" w:color="7F6000" w:sz="14"/>
          <w:bottom w:val="single" w:color="7F6000" w:sz="2"/>
          <w:right w:val="single" w:color="7F6000" w:sz="2"/>
          <w:insideH w:val="none"/>
          <w:insideV w:val="none"/>
        </w:tblBorders>
      </w:tblPr>
      <w:tblGrid>
        <w:gridCol w:w="9360"/>
      </w:tblGrid>
      <w:tr>
        <w:tc>
          <w:tcPr>
            <w:tcW w:type="dxa" w:w="9360"/>
            <w:shd w:fill="FBF3D5" w:val="clear"/>
            <w:tcMar>
              <w:top w:type="dxa" w:w="100"/>
              <w:left w:type="dxa" w:w="160"/>
              <w:bottom w:type="dxa" w:w="100"/>
              <w:right w:type="dxa" w:w="160"/>
            </w:tcMar>
          </w:tcPr>
          <w:p>
            <w:pPr>
              <w:spacing w:after="60"/>
            </w:pPr>
            <w:r>
              <w:rPr>
                <w:rFonts w:ascii="Calibri" w:cs="Calibri" w:eastAsia="Calibri" w:hAnsi="Calibri"/>
                <w:b/>
                <w:bCs/>
                <w:color w:val="7F6000"/>
                <w:sz w:val="22"/>
                <w:szCs w:val="22"/>
              </w:rPr>
              <w:t xml:space="preserve">El veredicto de cierre: GO / GO CON CONDICIONES / NO GO</w:t>
            </w:r>
          </w:p>
          <w:p>
            <w:pPr>
              <w:spacing w:after="40"/>
              <w:jc w:val="both"/>
            </w:pPr>
            <w:r>
              <w:rPr>
                <w:rFonts w:ascii="Calibri" w:cs="Calibri" w:eastAsia="Calibri" w:hAnsi="Calibri"/>
                <w:sz w:val="21"/>
                <w:szCs w:val="21"/>
              </w:rPr>
              <w:t xml:space="preserve">GO — la mayoría de las hipótesis críticas se confirmaron y no hay barreras para avanzar.</w:t>
            </w:r>
          </w:p>
          <w:p>
            <w:pPr>
              <w:spacing w:after="40"/>
              <w:jc w:val="both"/>
            </w:pPr>
            <w:r>
              <w:rPr>
                <w:rFonts w:ascii="Calibri" w:cs="Calibri" w:eastAsia="Calibri" w:hAnsi="Calibri"/>
                <w:sz w:val="21"/>
                <w:szCs w:val="21"/>
              </w:rPr>
              <w:t xml:space="preserve">GO CON CONDICIONES — hay señales positivas, pero algunas hipótesis relevantes siguen sin evidencia suficiente o requieren ajustes.</w:t>
            </w:r>
          </w:p>
          <w:p>
            <w:pPr>
              <w:spacing w:after="40"/>
              <w:jc w:val="both"/>
            </w:pPr>
            <w:r>
              <w:rPr>
                <w:rFonts w:ascii="Calibri" w:cs="Calibri" w:eastAsia="Calibri" w:hAnsi="Calibri"/>
                <w:sz w:val="21"/>
                <w:szCs w:val="21"/>
              </w:rPr>
              <w:t xml:space="preserve">NO GO — las hipótesis críticas fueron refutadas o se identificaron barreras que cuestionan la propuesta de valor o la ruta de transferencia.</w:t>
            </w:r>
          </w:p>
          <w:p>
            <w:pPr>
              <w:spacing w:after="40"/>
              <w:jc w:val="both"/>
            </w:pPr>
            <w:r>
              <w:rPr>
                <w:rFonts w:ascii="Calibri" w:cs="Calibri" w:eastAsia="Calibri" w:hAnsi="Calibri"/>
                <w:sz w:val="21"/>
                <w:szCs w:val="21"/>
              </w:rPr>
              <w:t xml:space="preserve">Para PuBlitec, ese veredicto se producirá cuando se cierren las cinco entrevistas mínimas y se reescriba la matriz de hipótesis de las dos matrices de descubrimiento (financiador y municipio) con base en la evidencia real.</w:t>
            </w:r>
          </w:p>
        </w:tc>
      </w:tr>
    </w:tbl>
    <w:p>
      <w:r>
        <w:br w:type="page"/>
      </w:r>
    </w:p>
    <w:p>
      <w:pPr>
        <w:pStyle w:val="Heading1"/>
        <w:spacing w:after="160" w:before="320"/>
      </w:pPr>
      <w:r>
        <w:rPr>
          <w:rFonts w:ascii="Calibri" w:cs="Calibri" w:eastAsia="Calibri" w:hAnsi="Calibri"/>
          <w:b/>
          <w:bCs/>
          <w:color w:val="1F3864"/>
        </w:rPr>
        <w:t xml:space="preserve">Glosario</w:t>
      </w:r>
    </w:p>
    <w:p>
      <w:pPr>
        <w:spacing w:after="100" w:line="270"/>
        <w:jc w:val="both"/>
      </w:pPr>
      <w:r>
        <w:rPr>
          <w:rFonts w:ascii="Calibri" w:cs="Calibri" w:eastAsia="Calibri" w:hAnsi="Calibri"/>
          <w:b/>
          <w:bCs/>
          <w:color w:val="1F3864"/>
          <w:sz w:val="22"/>
          <w:szCs w:val="22"/>
        </w:rPr>
        <w:t xml:space="preserve">MGA. </w:t>
      </w:r>
      <w:r>
        <w:rPr>
          <w:rFonts w:ascii="Calibri" w:cs="Calibri" w:eastAsia="Calibri" w:hAnsi="Calibri"/>
          <w:sz w:val="22"/>
          <w:szCs w:val="22"/>
        </w:rPr>
        <w:t xml:space="preserve">Metodología General Ajustada del DNP. Lenguaje oficial y obligatorio para formular proyectos de inversión pública y acceder a SGR, SGP y PGN.</w:t>
      </w:r>
    </w:p>
    <w:p>
      <w:pPr>
        <w:spacing w:after="100" w:line="270"/>
        <w:jc w:val="both"/>
      </w:pPr>
      <w:r>
        <w:rPr>
          <w:rFonts w:ascii="Calibri" w:cs="Calibri" w:eastAsia="Calibri" w:hAnsi="Calibri"/>
          <w:b/>
          <w:bCs/>
          <w:color w:val="1F3864"/>
          <w:sz w:val="22"/>
          <w:szCs w:val="22"/>
        </w:rPr>
        <w:t xml:space="preserve">RAG. </w:t>
      </w:r>
      <w:r>
        <w:rPr>
          <w:rFonts w:ascii="Calibri" w:cs="Calibri" w:eastAsia="Calibri" w:hAnsi="Calibri"/>
          <w:sz w:val="22"/>
          <w:szCs w:val="22"/>
        </w:rPr>
        <w:t xml:space="preserve">Retrieval-Augmented Generation. Arquitectura de IA que ancla las respuestas del modelo a un corpus documental específico (aquí, la normativa del DNP), reduciendo alucinaciones.</w:t>
      </w:r>
    </w:p>
    <w:p>
      <w:pPr>
        <w:spacing w:after="100" w:line="270"/>
        <w:jc w:val="both"/>
      </w:pPr>
      <w:r>
        <w:rPr>
          <w:rFonts w:ascii="Calibri" w:cs="Calibri" w:eastAsia="Calibri" w:hAnsi="Calibri"/>
          <w:b/>
          <w:bCs/>
          <w:color w:val="1F3864"/>
          <w:sz w:val="22"/>
          <w:szCs w:val="22"/>
        </w:rPr>
        <w:t xml:space="preserve">TRL / CRL / TMRL. </w:t>
      </w:r>
      <w:r>
        <w:rPr>
          <w:rFonts w:ascii="Calibri" w:cs="Calibri" w:eastAsia="Calibri" w:hAnsi="Calibri"/>
          <w:sz w:val="22"/>
          <w:szCs w:val="22"/>
        </w:rPr>
        <w:t xml:space="preserve">Niveles de madurez de la tecnología (TRL), del cliente o mercado (CRL) y del equipo (TMRL), según la metodología de la convocatoria EAFIT.</w:t>
      </w:r>
    </w:p>
    <w:p>
      <w:pPr>
        <w:spacing w:after="100" w:line="270"/>
        <w:jc w:val="both"/>
      </w:pPr>
      <w:r>
        <w:rPr>
          <w:rFonts w:ascii="Calibri" w:cs="Calibri" w:eastAsia="Calibri" w:hAnsi="Calibri"/>
          <w:b/>
          <w:bCs/>
          <w:color w:val="1F3864"/>
          <w:sz w:val="22"/>
          <w:szCs w:val="22"/>
        </w:rPr>
        <w:t xml:space="preserve">IGM-B. </w:t>
      </w:r>
      <w:r>
        <w:rPr>
          <w:rFonts w:ascii="Calibri" w:cs="Calibri" w:eastAsia="Calibri" w:hAnsi="Calibri"/>
          <w:sz w:val="22"/>
          <w:szCs w:val="22"/>
        </w:rPr>
        <w:t xml:space="preserve">Índice de Gestión Municipal (versión B). Indicador propietario de PuBlitec que sintetiza la capacidad institucional municipal a partir de señales oficiales (MDM, gestión, ejecución SGR).</w:t>
      </w:r>
    </w:p>
    <w:p>
      <w:pPr>
        <w:spacing w:after="100" w:line="270"/>
        <w:jc w:val="both"/>
      </w:pPr>
      <w:r>
        <w:rPr>
          <w:rFonts w:ascii="Calibri" w:cs="Calibri" w:eastAsia="Calibri" w:hAnsi="Calibri"/>
          <w:b/>
          <w:bCs/>
          <w:color w:val="1F3864"/>
          <w:sz w:val="22"/>
          <w:szCs w:val="22"/>
        </w:rPr>
        <w:t xml:space="preserve">RLS. </w:t>
      </w:r>
      <w:r>
        <w:rPr>
          <w:rFonts w:ascii="Calibri" w:cs="Calibri" w:eastAsia="Calibri" w:hAnsi="Calibri"/>
          <w:sz w:val="22"/>
          <w:szCs w:val="22"/>
        </w:rPr>
        <w:t xml:space="preserve">Row Level Security. Aislamiento de datos por organización a nivel de base de datos PostgreSQL, no de aplicación.</w:t>
      </w:r>
    </w:p>
    <w:p>
      <w:pPr>
        <w:spacing w:after="100" w:line="270"/>
        <w:jc w:val="both"/>
      </w:pPr>
      <w:r>
        <w:rPr>
          <w:rFonts w:ascii="Calibri" w:cs="Calibri" w:eastAsia="Calibri" w:hAnsi="Calibri"/>
          <w:b/>
          <w:bCs/>
          <w:color w:val="1F3864"/>
          <w:sz w:val="22"/>
          <w:szCs w:val="22"/>
        </w:rPr>
        <w:t xml:space="preserve">SGR / SGP / PGN. </w:t>
      </w:r>
      <w:r>
        <w:rPr>
          <w:rFonts w:ascii="Calibri" w:cs="Calibri" w:eastAsia="Calibri" w:hAnsi="Calibri"/>
          <w:sz w:val="22"/>
          <w:szCs w:val="22"/>
        </w:rPr>
        <w:t xml:space="preserve">Sistema General de Regalías, Sistema General de Participaciones y Presupuesto General de la Nación: las tres grandes fuentes de inversión pública territorial.</w:t>
      </w:r>
    </w:p>
    <w:p>
      <w:pPr>
        <w:spacing w:after="100" w:line="270"/>
        <w:jc w:val="both"/>
      </w:pPr>
      <w:r>
        <w:rPr>
          <w:rFonts w:ascii="Calibri" w:cs="Calibri" w:eastAsia="Calibri" w:hAnsi="Calibri"/>
          <w:b/>
          <w:bCs/>
          <w:color w:val="1F3864"/>
          <w:sz w:val="22"/>
          <w:szCs w:val="22"/>
        </w:rPr>
        <w:t xml:space="preserve">SECOP / MDM / IDF. </w:t>
      </w:r>
      <w:r>
        <w:rPr>
          <w:rFonts w:ascii="Calibri" w:cs="Calibri" w:eastAsia="Calibri" w:hAnsi="Calibri"/>
          <w:sz w:val="22"/>
          <w:szCs w:val="22"/>
        </w:rPr>
        <w:t xml:space="preserve">Sistema de contratación pública; Medición de Desempeño Municipal; Índice de Desempeño Fiscal. Fuentes oficiales del DNP y Colombia Compra Eficiente.</w:t>
      </w:r>
    </w:p>
    <w:p>
      <w:pPr>
        <w:spacing w:after="100" w:line="270"/>
        <w:jc w:val="both"/>
      </w:pPr>
      <w:r>
        <w:rPr>
          <w:rFonts w:ascii="Calibri" w:cs="Calibri" w:eastAsia="Calibri" w:hAnsi="Calibri"/>
          <w:b/>
          <w:bCs/>
          <w:color w:val="1F3864"/>
          <w:sz w:val="22"/>
          <w:szCs w:val="22"/>
        </w:rPr>
        <w:t xml:space="preserve">TAM / SAM / SOM. </w:t>
      </w:r>
      <w:r>
        <w:rPr>
          <w:rFonts w:ascii="Calibri" w:cs="Calibri" w:eastAsia="Calibri" w:hAnsi="Calibri"/>
          <w:sz w:val="22"/>
          <w:szCs w:val="22"/>
        </w:rPr>
        <w:t xml:space="preserve">Mercado total, direccionable y obtenible: las tres perspectivas anidadas para dimensionar la oportunidad comercial.</w:t>
      </w:r>
    </w:p>
    <w:p>
      <w:pPr>
        <w:spacing w:after="100" w:line="270"/>
        <w:jc w:val="both"/>
      </w:pPr>
      <w:r>
        <w:rPr>
          <w:rFonts w:ascii="Calibri" w:cs="Calibri" w:eastAsia="Calibri" w:hAnsi="Calibri"/>
          <w:b/>
          <w:bCs/>
          <w:color w:val="1F3864"/>
          <w:sz w:val="22"/>
          <w:szCs w:val="22"/>
        </w:rPr>
        <w:t xml:space="preserve">GovTech. </w:t>
      </w:r>
      <w:r>
        <w:rPr>
          <w:rFonts w:ascii="Calibri" w:cs="Calibri" w:eastAsia="Calibri" w:hAnsi="Calibri"/>
          <w:sz w:val="22"/>
          <w:szCs w:val="22"/>
        </w:rPr>
        <w:t xml:space="preserve">Segmento de tecnología con soluciones digitales especializadas para gobiernos.</w:t>
      </w:r>
    </w:p>
    <w:p>
      <w:pPr>
        <w:spacing w:after="100" w:line="270"/>
        <w:jc w:val="both"/>
      </w:pPr>
      <w:r>
        <w:rPr>
          <w:rFonts w:ascii="Calibri" w:cs="Calibri" w:eastAsia="Calibri" w:hAnsi="Calibri"/>
          <w:b/>
          <w:bCs/>
          <w:color w:val="1F3864"/>
          <w:sz w:val="22"/>
          <w:szCs w:val="22"/>
        </w:rPr>
        <w:t xml:space="preserve">Human-in-the-loop. </w:t>
      </w:r>
      <w:r>
        <w:rPr>
          <w:rFonts w:ascii="Calibri" w:cs="Calibri" w:eastAsia="Calibri" w:hAnsi="Calibri"/>
          <w:sz w:val="22"/>
          <w:szCs w:val="22"/>
        </w:rPr>
        <w:t xml:space="preserve">Principio de diseño por el cual la IA asiste pero nunca decide: un humano valida, ajusta o ratifica cada sugerencia.</w:t>
      </w:r>
    </w:p>
    <w:p>
      <w:pPr>
        <w:pStyle w:val="Heading1"/>
        <w:spacing w:after="160" w:before="320"/>
      </w:pPr>
      <w:r>
        <w:rPr>
          <w:rFonts w:ascii="Calibri" w:cs="Calibri" w:eastAsia="Calibri" w:hAnsi="Calibri"/>
          <w:b/>
          <w:bCs/>
          <w:color w:val="1F3864"/>
        </w:rPr>
        <w:t xml:space="preserve">Fuentes de este consolidado</w:t>
      </w:r>
    </w:p>
    <w:p>
      <w:pPr>
        <w:pStyle w:val="Heading2"/>
        <w:spacing w:after="120" w:before="240"/>
      </w:pPr>
      <w:r>
        <w:rPr>
          <w:rFonts w:ascii="Calibri" w:cs="Calibri" w:eastAsia="Calibri" w:hAnsi="Calibri"/>
          <w:b/>
          <w:bCs/>
          <w:color w:val="2E5496"/>
        </w:rPr>
        <w:t xml:space="preserve">Conversaciones de trabajo</w:t>
      </w:r>
    </w:p>
    <w:p>
      <w:pPr>
        <w:pStyle w:val="ListParagraph"/>
        <w:numPr>
          <w:ilvl w:val="0"/>
          <w:numId w:val="2"/>
        </w:numPr>
        <w:spacing w:after="80" w:line="276"/>
        <w:jc w:val="both"/>
      </w:pPr>
      <w:r>
        <w:rPr>
          <w:rFonts w:ascii="Calibri" w:cs="Calibri" w:eastAsia="Calibri" w:hAnsi="Calibri"/>
          <w:b/>
          <w:bCs/>
          <w:sz w:val="22"/>
          <w:szCs w:val="22"/>
        </w:rPr>
        <w:t xml:space="preserve">PUBLITEC — </w:t>
      </w:r>
      <w:r>
        <w:rPr>
          <w:rFonts w:ascii="Calibri" w:cs="Calibri" w:eastAsia="Calibri" w:hAnsi="Calibri"/>
          <w:sz w:val="22"/>
          <w:szCs w:val="22"/>
        </w:rPr>
        <w:t xml:space="preserve">Reconstrucción del Anexo 02 (C→B), Etapas 1–2</w:t>
      </w:r>
    </w:p>
    <w:p>
      <w:pPr>
        <w:pStyle w:val="ListParagraph"/>
        <w:numPr>
          <w:ilvl w:val="0"/>
          <w:numId w:val="2"/>
        </w:numPr>
        <w:spacing w:after="80" w:line="276"/>
        <w:jc w:val="both"/>
      </w:pPr>
      <w:r>
        <w:rPr>
          <w:rFonts w:ascii="Calibri" w:cs="Calibri" w:eastAsia="Calibri" w:hAnsi="Calibri"/>
          <w:b/>
          <w:bCs/>
          <w:sz w:val="22"/>
          <w:szCs w:val="22"/>
        </w:rPr>
        <w:t xml:space="preserve">Integración — </w:t>
      </w:r>
      <w:r>
        <w:rPr>
          <w:rFonts w:ascii="Calibri" w:cs="Calibri" w:eastAsia="Calibri" w:hAnsi="Calibri"/>
          <w:sz w:val="22"/>
          <w:szCs w:val="22"/>
        </w:rPr>
        <w:t xml:space="preserve">Feedback consolidado del producto + correo al equipo</w:t>
      </w:r>
    </w:p>
    <w:p>
      <w:pPr>
        <w:pStyle w:val="ListParagraph"/>
        <w:numPr>
          <w:ilvl w:val="0"/>
          <w:numId w:val="2"/>
        </w:numPr>
        <w:spacing w:after="80" w:line="276"/>
        <w:jc w:val="both"/>
      </w:pPr>
      <w:r>
        <w:rPr>
          <w:rFonts w:ascii="Calibri" w:cs="Calibri" w:eastAsia="Calibri" w:hAnsi="Calibri"/>
          <w:b/>
          <w:bCs/>
          <w:sz w:val="22"/>
          <w:szCs w:val="22"/>
        </w:rPr>
        <w:t xml:space="preserve">Publitec nuevo y bloque — </w:t>
      </w:r>
      <w:r>
        <w:rPr>
          <w:rFonts w:ascii="Calibri" w:cs="Calibri" w:eastAsia="Calibri" w:hAnsi="Calibri"/>
          <w:sz w:val="22"/>
          <w:szCs w:val="22"/>
        </w:rPr>
        <w:t xml:space="preserve">Estrategia de puntaje y Etapas 3–4</w:t>
      </w:r>
    </w:p>
    <w:p>
      <w:pPr>
        <w:pStyle w:val="ListParagraph"/>
        <w:numPr>
          <w:ilvl w:val="0"/>
          <w:numId w:val="2"/>
        </w:numPr>
        <w:spacing w:after="80" w:line="276"/>
        <w:jc w:val="both"/>
      </w:pPr>
      <w:r>
        <w:rPr>
          <w:rFonts w:ascii="Calibri" w:cs="Calibri" w:eastAsia="Calibri" w:hAnsi="Calibri"/>
          <w:b/>
          <w:bCs/>
          <w:sz w:val="22"/>
          <w:szCs w:val="22"/>
        </w:rPr>
        <w:t xml:space="preserve">Bloque b publitec — </w:t>
      </w:r>
      <w:r>
        <w:rPr>
          <w:rFonts w:ascii="Calibri" w:cs="Calibri" w:eastAsia="Calibri" w:hAnsi="Calibri"/>
          <w:sz w:val="22"/>
          <w:szCs w:val="22"/>
        </w:rPr>
        <w:t xml:space="preserve">Revisión rol Municipio (Lote B)</w:t>
      </w:r>
    </w:p>
    <w:p>
      <w:pPr>
        <w:pStyle w:val="ListParagraph"/>
        <w:numPr>
          <w:ilvl w:val="0"/>
          <w:numId w:val="2"/>
        </w:numPr>
        <w:spacing w:after="80" w:line="276"/>
        <w:jc w:val="both"/>
      </w:pPr>
      <w:r>
        <w:rPr>
          <w:rFonts w:ascii="Calibri" w:cs="Calibri" w:eastAsia="Calibri" w:hAnsi="Calibri"/>
          <w:b/>
          <w:bCs/>
          <w:sz w:val="22"/>
          <w:szCs w:val="22"/>
        </w:rPr>
        <w:t xml:space="preserve">Lotec c confusión — </w:t>
      </w:r>
      <w:r>
        <w:rPr>
          <w:rFonts w:ascii="Calibri" w:cs="Calibri" w:eastAsia="Calibri" w:hAnsi="Calibri"/>
          <w:sz w:val="22"/>
          <w:szCs w:val="22"/>
        </w:rPr>
        <w:t xml:space="preserve">Revisión rol Entidad (Lote C)</w:t>
      </w:r>
    </w:p>
    <w:p>
      <w:pPr>
        <w:pStyle w:val="Heading2"/>
        <w:spacing w:after="120" w:before="240"/>
      </w:pPr>
      <w:r>
        <w:rPr>
          <w:rFonts w:ascii="Calibri" w:cs="Calibri" w:eastAsia="Calibri" w:hAnsi="Calibri"/>
          <w:b/>
          <w:bCs/>
          <w:color w:val="2E5496"/>
        </w:rPr>
        <w:t xml:space="preserve">Documentos del taller y del proyecto</w:t>
      </w:r>
    </w:p>
    <w:p>
      <w:pPr>
        <w:pStyle w:val="ListParagraph"/>
        <w:numPr>
          <w:ilvl w:val="0"/>
          <w:numId w:val="2"/>
        </w:numPr>
        <w:spacing w:after="80" w:line="276"/>
        <w:jc w:val="both"/>
      </w:pPr>
      <w:r>
        <w:rPr>
          <w:rFonts w:ascii="Calibri" w:cs="Calibri" w:eastAsia="Calibri" w:hAnsi="Calibri"/>
          <w:sz w:val="22"/>
          <w:szCs w:val="22"/>
        </w:rPr>
        <w:t xml:space="preserve">Matriz de descubrimiento del cliente (Financiador territorial) y Matriz paralela (Municipio formulador)</w:t>
      </w:r>
    </w:p>
    <w:p>
      <w:pPr>
        <w:pStyle w:val="ListParagraph"/>
        <w:numPr>
          <w:ilvl w:val="0"/>
          <w:numId w:val="2"/>
        </w:numPr>
        <w:spacing w:after="80" w:line="276"/>
        <w:jc w:val="both"/>
      </w:pPr>
      <w:r>
        <w:rPr>
          <w:rFonts w:ascii="Calibri" w:cs="Calibri" w:eastAsia="Calibri" w:hAnsi="Calibri"/>
          <w:sz w:val="22"/>
          <w:szCs w:val="22"/>
        </w:rPr>
        <w:t xml:space="preserve">Guía de preguntas de validación comercial (v2)</w:t>
      </w:r>
    </w:p>
    <w:p>
      <w:pPr>
        <w:pStyle w:val="ListParagraph"/>
        <w:numPr>
          <w:ilvl w:val="0"/>
          <w:numId w:val="2"/>
        </w:numPr>
        <w:spacing w:after="80" w:line="276"/>
        <w:jc w:val="both"/>
      </w:pPr>
      <w:r>
        <w:rPr>
          <w:rFonts w:ascii="Calibri" w:cs="Calibri" w:eastAsia="Calibri" w:hAnsi="Calibri"/>
          <w:sz w:val="22"/>
          <w:szCs w:val="22"/>
        </w:rPr>
        <w:t xml:space="preserve">Análisis de mercado PuBlitec (Categoría B)</w:t>
      </w:r>
    </w:p>
    <w:p>
      <w:pPr>
        <w:pStyle w:val="ListParagraph"/>
        <w:numPr>
          <w:ilvl w:val="0"/>
          <w:numId w:val="2"/>
        </w:numPr>
        <w:spacing w:after="80" w:line="276"/>
        <w:jc w:val="both"/>
      </w:pPr>
      <w:r>
        <w:rPr>
          <w:rFonts w:ascii="Calibri" w:cs="Calibri" w:eastAsia="Calibri" w:hAnsi="Calibri"/>
          <w:sz w:val="22"/>
          <w:szCs w:val="22"/>
        </w:rPr>
        <w:t xml:space="preserve">Brief de Avance Técnico y Guía de pruebas paso a paso</w:t>
      </w:r>
    </w:p>
    <w:p>
      <w:pPr>
        <w:pStyle w:val="ListParagraph"/>
        <w:numPr>
          <w:ilvl w:val="0"/>
          <w:numId w:val="2"/>
        </w:numPr>
        <w:spacing w:after="80" w:line="276"/>
        <w:jc w:val="both"/>
      </w:pPr>
      <w:r>
        <w:rPr>
          <w:rFonts w:ascii="Calibri" w:cs="Calibri" w:eastAsia="Calibri" w:hAnsi="Calibri"/>
          <w:sz w:val="22"/>
          <w:szCs w:val="22"/>
        </w:rPr>
        <w:t xml:space="preserve">Memo de la Sesión 4 del Lab to Market</w:t>
      </w:r>
    </w:p>
    <w:p>
      <w:pPr>
        <w:pStyle w:val="ListParagraph"/>
        <w:numPr>
          <w:ilvl w:val="0"/>
          <w:numId w:val="2"/>
        </w:numPr>
        <w:spacing w:after="80" w:line="276"/>
        <w:jc w:val="both"/>
      </w:pPr>
      <w:r>
        <w:rPr>
          <w:rFonts w:ascii="Calibri" w:cs="Calibri" w:eastAsia="Calibri" w:hAnsi="Calibri"/>
          <w:sz w:val="22"/>
          <w:szCs w:val="22"/>
        </w:rPr>
        <w:t xml:space="preserve">Paquete de preparación del Pitch (versión editada)</w:t>
      </w:r>
    </w:p>
    <w:p>
      <w:pPr>
        <w:pStyle w:val="ListParagraph"/>
        <w:numPr>
          <w:ilvl w:val="0"/>
          <w:numId w:val="2"/>
        </w:numPr>
        <w:spacing w:after="80" w:line="276"/>
        <w:jc w:val="both"/>
      </w:pPr>
      <w:r>
        <w:rPr>
          <w:rFonts w:ascii="Calibri" w:cs="Calibri" w:eastAsia="Calibri" w:hAnsi="Calibri"/>
          <w:sz w:val="22"/>
          <w:szCs w:val="22"/>
        </w:rPr>
        <w:t xml:space="preserve">Anexo 02 PuBlitec — versiones del 7 de marzo y del 1 de mayo, y elementos para la nueva versión</w:t>
      </w:r>
    </w:p>
    <w:p>
      <w:pPr>
        <w:pStyle w:val="ListParagraph"/>
        <w:numPr>
          <w:ilvl w:val="0"/>
          <w:numId w:val="2"/>
        </w:numPr>
        <w:spacing w:after="80" w:line="276"/>
        <w:jc w:val="both"/>
      </w:pPr>
      <w:r>
        <w:rPr>
          <w:rFonts w:ascii="Calibri" w:cs="Calibri" w:eastAsia="Calibri" w:hAnsi="Calibri"/>
          <w:sz w:val="22"/>
          <w:szCs w:val="22"/>
        </w:rPr>
        <w:t xml:space="preserve">Decks del taller Lab to Market: Fase II (descubrimiento y validación), Fase III (de investigación a innovación) y Fase IV (PESTEL y Business Model Canvas)</w:t>
      </w:r>
    </w:p>
    <w:p>
      <w:pPr>
        <w:pStyle w:val="ListParagraph"/>
        <w:numPr>
          <w:ilvl w:val="0"/>
          <w:numId w:val="2"/>
        </w:numPr>
        <w:spacing w:after="80" w:line="276"/>
        <w:jc w:val="both"/>
      </w:pPr>
      <w:r>
        <w:rPr>
          <w:rFonts w:ascii="Calibri" w:cs="Calibri" w:eastAsia="Calibri" w:hAnsi="Calibri"/>
          <w:sz w:val="22"/>
          <w:szCs w:val="22"/>
        </w:rPr>
        <w:t xml:space="preserve">Guía de preguntas de validación — Prompts sugeridos para uso de IA</w:t>
      </w:r>
    </w:p>
    <w:p>
      <w:pPr>
        <w:pStyle w:val="ListParagraph"/>
        <w:numPr>
          <w:ilvl w:val="0"/>
          <w:numId w:val="2"/>
        </w:numPr>
        <w:spacing w:after="80" w:line="276"/>
        <w:jc w:val="both"/>
      </w:pPr>
      <w:r>
        <w:rPr>
          <w:rFonts w:ascii="Calibri" w:cs="Calibri" w:eastAsia="Calibri" w:hAnsi="Calibri"/>
          <w:sz w:val="22"/>
          <w:szCs w:val="22"/>
        </w:rPr>
        <w:t xml:space="preserve">Plantillas de entregables: Bitácora de Validaciones e Informe de Validación del Proyecto (con matriz de hipótesis y veredicto GO / GO CON CONDICIONES / NO GO)</w:t>
      </w:r>
    </w:p>
    <w:p>
      <w:pPr>
        <w:spacing w:after="120"/>
      </w:pPr>
    </w:p>
    <w:p>
      <w:pPr>
        <w:spacing w:after="120" w:line="276"/>
        <w:jc w:val="both"/>
      </w:pPr>
      <w:r>
        <w:rPr>
          <w:rFonts w:ascii="Calibri" w:cs="Calibri" w:eastAsia="Calibri" w:hAnsi="Calibri"/>
          <w:b/>
          <w:bCs/>
          <w:i/>
          <w:iCs/>
          <w:sz w:val="22"/>
          <w:szCs w:val="22"/>
        </w:rPr>
        <w:t xml:space="preserve">Nota. </w:t>
      </w:r>
      <w:r>
        <w:rPr>
          <w:rFonts w:ascii="Calibri" w:cs="Calibri" w:eastAsia="Calibri" w:hAnsi="Calibri"/>
          <w:i/>
          <w:iCs/>
          <w:sz w:val="22"/>
          <w:szCs w:val="22"/>
        </w:rPr>
        <w:t xml:space="preserve">Este documento es un consolidado de referencia interno. Las cifras y compromisos provienen del material del equipo; cuando una afirmación depende de un dato que aún se estaba gestionando (por ejemplo, la carta de la Gobernación de Antioquia), así se ha señalado en el texto.</w:t>
      </w:r>
    </w:p>
    <w:sectPr>
      <w:headerReference w:type="default" r:id="rId7"/>
      <w:footerReference w:type="default" r:id="rId8"/>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cs="Calibri" w:eastAsia="Calibri" w:hAnsi="Calibri"/>
        <w:color w:val="808080"/>
        <w:sz w:val="16"/>
        <w:szCs w:val="16"/>
      </w:rPr>
      <w:t xml:space="preserve">PuBlitec · Documento maestro consolidado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PuBlitec — Documento maestro consolidado</dc:title>
  <dc:creator>Valor Público — EAFIT</dc:creator>
  <cp:lastModifiedBy>Un-named</cp:lastModifiedBy>
  <cp:revision>1</cp:revision>
  <dcterms:created xsi:type="dcterms:W3CDTF">2026-07-21T15:06:28.202Z</dcterms:created>
  <dcterms:modified xsi:type="dcterms:W3CDTF">2026-07-21T15:06:28.202Z</dcterms:modified>
</cp:coreProperties>
</file>

<file path=docProps/custom.xml><?xml version="1.0" encoding="utf-8"?>
<Properties xmlns="http://schemas.openxmlformats.org/officeDocument/2006/custom-properties" xmlns:vt="http://schemas.openxmlformats.org/officeDocument/2006/docPropsVTypes"/>
</file>