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Informe de Validación — PuBlitec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Consolidado de la ronda de validación comercial · Lab to Market EAFIT 2026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</w:rPr>
        <w:t xml:space="preserve">Generalidades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2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Título del proyecto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PuBlitec — Plataforma de gestión de convocatorias públicas con IA para la formulación, evaluación y seguimiento de proyectos de inversión bajo MGA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Plataforma web con IA generativa (RAG anclado al corpus del DNP) que digitaliza el ciclo de convocatorias públicas: estructura proyectos, parametriza rúbricas, pre-evalúa contra criterios y conserva memoria institucional.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Origen del proyecto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Identificación ( )   Alistamiento ( X )   Interno ( )   Regalías ( )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Tipo de validación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Prototipo ( )   Funcionalidades ( )   Concepto ( )   Mercado ( X )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Programa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 to Market EAFIT 2026 · Fase 2 — Descubrimiento y validación del cliente</w:t>
            </w:r>
          </w:p>
        </w:tc>
      </w:tr>
    </w:tbl>
    <w:p>
      <w:pPr>
        <w:spacing w:after="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1. Objetivo de la validación</w:t>
      </w:r>
    </w:p>
    <w:p>
      <w:pPr>
        <w:spacing w:after="10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Validar, mediante conversaciones reales, las hipótesis de problema, propuesta de valor y factores de decisión de PuBlitec en sus dos segmentos: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(A) Financiador territorial</w:t>
      </w:r>
      <w:r>
        <w:rPr>
          <w:rFonts w:ascii="Calibri" w:cs="Calibri" w:eastAsia="Calibri" w:hAnsi="Calibri"/>
          <w:sz w:val="22"/>
          <w:szCs w:val="22"/>
        </w:rPr>
        <w:t xml:space="preserve"> —entidades que canalizan recursos hacia la inversión municipal—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(B) Municipio formulador</w:t>
      </w:r>
      <w:r>
        <w:rPr>
          <w:rFonts w:ascii="Calibri" w:cs="Calibri" w:eastAsia="Calibri" w:hAnsi="Calibri"/>
          <w:sz w:val="22"/>
          <w:szCs w:val="22"/>
        </w:rPr>
        <w:t xml:space="preserve"> —secretarías de planeación de municipios cat. 3, 4 y 5—. Grupos de empresas/entidades buscados: institutos de fomento departamental, banca pública de segundo piso, banca privada con línea de gobierno, ministerios y agencias con cofinanciación, banca multilateral, y municipios de la «clase media municipal».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Ajustes al objetivo según el trabajo de campo: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2. Validadores — Segmento A · Financiador territorial</w:t>
      </w:r>
    </w:p>
    <w:p>
      <w:pPr>
        <w:spacing w:after="10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Registrar cada entidad entrevistada (idealmente 3). Subtipos: instituto de fomento (IDEA, INFI…), banca pública de segundo piso (Findeter), banca privada con línea de gobierno, ministerio/agencia, banca multilateral.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Validador A-1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 la entidad: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del contacto: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Rol (aliado / cliente final / usuario):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Cargo: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Fecha de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___/___/2026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Puntos clave de la conversación: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de la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Validador A-2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 la entidad: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del contacto: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Rol (aliado / cliente final / usuario):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Cargo: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Fecha de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___/___/2026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Puntos clave de la conversación: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de la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Validador A-3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 la entidad: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del contacto: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Rol (aliado / cliente final / usuario):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Cargo: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Fecha de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___/___/2026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Puntos clave de la conversación: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de la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80"/>
      </w:pP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general del Segmento A: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3. Validadores — Segmento B · Municipio formulador</w:t>
      </w:r>
    </w:p>
    <w:p>
      <w:pPr>
        <w:spacing w:after="10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Registrar cada municipio entrevistado (idealmente 2; entre ellos, por relación previa, Marinilla).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Validador B-1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 la entidad: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del contacto: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Rol (aliado / cliente final / usuario):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Cargo: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Fecha de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___/___/2026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Puntos clave de la conversación: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de la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Validador B-2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 la entidad: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Nombre del contacto: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Rol (aliado / cliente final / usuario):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Cargo: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Fecha de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___/___/2026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Puntos clave de la conversación: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de la validación: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80"/>
      </w:pP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Conclusión general del Segmento B: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4. Matriz de validación de hipótesis</w:t>
      </w:r>
    </w:p>
    <w:p>
      <w:pPr>
        <w:spacing w:after="10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Estados posibles: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Confirmada · Parcialmente confirmada · Evidencia insuficiente · Refutada</w:t>
      </w:r>
      <w:r>
        <w:rPr>
          <w:rFonts w:ascii="Calibri" w:cs="Calibri" w:eastAsia="Calibri" w:hAnsi="Calibri"/>
          <w:sz w:val="22"/>
          <w:szCs w:val="22"/>
        </w:rPr>
        <w:t xml:space="preserve">. Diligenciar «Evidencia observada» y «Estado» al cierre de las entrevistas.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5460"/>
        <w:gridCol w:w="2500"/>
        <w:gridCol w:w="1400"/>
      </w:tblGrid>
      <w:tr>
        <w:trPr>
          <w:tblHeader/>
        </w:trPr>
        <w:tc>
          <w:tcPr>
            <w:tcW w:type="dxa" w:w="54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Hipótesis por validar</w:t>
            </w:r>
          </w:p>
        </w:tc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observada</w:t>
            </w:r>
          </w:p>
        </w:tc>
        <w:tc>
          <w:tcPr>
            <w:tcW w:type="dxa" w:w="14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5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· Eje 1: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ejecutivos de entidades canalizadoras (banca pública/privada, institutos de fomento, ministerios, agencias, banca multilateral) experimentan recurrentemente dificultades para leer la capacidad real de ejecución de los municipios antes de comprometer recursos, lo que produce sub-colocación, sub-ejecución, deterioro de cartera o sobrecosto de acompañamiento.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· Eje 2: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mecanismos actuales para evaluar capacidad municipal y acompañar técnicamente son fragmentados, costosos a escala y poco escalables, basados en relaciones uno a uno que no producen información estructurada para decisiones futuras.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· Eje 3: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problema impacta tres planos: operativo-financiero (colocación, ejecución, cartera, costo de acompañamiento), institucional-reputacional (reportes, control fiscal, exposición) y estratégico (erosiona la apuesta interna de expansión al segmento territorial).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· Eje 4: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decisión de adoptar una herramienta nueva pasa por espacios colegiados internos (comité técnico, junta, OCAD, panel, comité de elegibilidad), requiere caso de uso documentado y se ata a rubros presupuestales que varían por naturaleza institucional.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· Eje 5: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barreras varían por naturaleza institucional: integración con sistemas internos y compliance (banca privada), dependencia de proveedor y contratación pública (instituto), alineación con sistemas oficiales (ministerio); en todos los casos, sensibilidad reputacional.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· Eje 6: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relación es sostenible cuando reduce de forma documentable el costo unitario de acompañamiento, mejora indicadores de cartera o colocación, y se integra a flujos de decisión recurrentes (por ciclo institucional, no por proyecto).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· Eje 1: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secretarios de planeación de municipios cat. 3, 4 y 5 enfrentan una tasa baja de aprobación de los proyectos que presentan a convocatorias, atribuible a la calidad y velocidad de la estructuración técnica de sus equipos.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· Eje 2: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herramientas actuales (MGA Web, aplicativos de las entidades convocantes, consultoría externa, capacitaciones esporádicas) no acompañan de forma asistida, no transfieren capacidad sostenida y no resuelven el costo de un personal técnico rotativo.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· Eje 3: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problema tiene consecuencias económicas (recursos gastados en consultoría sin aprobación garantizada), operativas (obras retrasadas) y políticas (presión del concejo, de la comunidad y de la prensa local).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· Eje 4: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decisión de adoptar se concentra en el alcalde y el secretario de planeación, condicionada por el ciclo político y por la disponibilidad de un rubro o convenio que la pague sin reasignación presupuestal compleja.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· Eje 5: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barreras son la rotación de personal entre administraciones, la dependencia de conectividad y equipamiento, la coexistencia con los sistemas oficiales del DNP y la desconfianza inicial hacia productos no oficiales.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· Eje 6: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relación es sostenible cuando reduce la dependencia de consultoría, sobrevive a la rotación, deja memoria institucional usable por la siguiente administración y no exige renegociar el costo cada cambio de alcalde.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5. Análisis de los puntos clave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Precios: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Inversión: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Mercado: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Escalabilidad: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Modelo de negocio (fee de éxito 1%):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Estado de desarrollo de la tecnología (TRL 6→7):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Normatividad (SGP, IA responsable, Ley 358/819):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Diferenciación (MGA nativa + IA + pre-evaluación):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Otros: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6. Síntesis de hallazgos clave (máximo 5–7)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7. Concepto de la validación</w:t>
      </w:r>
    </w:p>
    <w:tbl>
      <w:tblPr>
        <w:tblW w:type="pct" w:w="100%"/>
        <w:tblBorders>
          <w:top w:val="single" w:color="D0B03C" w:sz="2"/>
          <w:left w:val="single" w:color="D0B03C" w:sz="12"/>
          <w:bottom w:val="single" w:color="D0B03C" w:sz="2"/>
          <w:right w:val="single" w:color="D0B03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Marcar una opción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 — la mayoría de las hipótesis críticas fueron confirmadas y no hay barreras que impidan avanzar.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 CON CONDICIONES — hay señales positivas, pero algunas hipótesis relevantes siguen sin evidencia suficiente o requieren ajustes.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 GO — las hipótesis críticas fueron refutadas o se identificaron barreras que cuestionan la propuesta de valor o la ruta de transferencia.</w:t>
            </w:r>
          </w:p>
        </w:tc>
      </w:tr>
    </w:tbl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Justificación, recomendaciones y pasos a seguir: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8. Riesgos y condiciones identificadas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Riesgos de mercado: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Riesgos técnicos: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Riesgos regulatorios: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Riesgos de adopción: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Otros riesgos relevantes: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PuBlitec · Informe de Validación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PuBlitec · Informe de Validación</dc:title>
  <dc:creator>Valor Público — EAFIT</dc:creator>
  <cp:lastModifiedBy>Un-named</cp:lastModifiedBy>
  <cp:revision>1</cp:revision>
  <dcterms:created xsi:type="dcterms:W3CDTF">2026-07-21T16:39:02.755Z</dcterms:created>
  <dcterms:modified xsi:type="dcterms:W3CDTF">2026-07-21T16:39:02.755Z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