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PuBlitec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Carpeta del proyecto · Lab to Market EAFIT 2026</w:t>
      </w:r>
    </w:p>
    <w:p>
      <w:pPr>
        <w:pBdr>
          <w:bottom w:val="single" w:color="C00000" w:sz="6" w:space="8"/>
        </w:pBdr>
        <w:spacing w:before="60"/>
        <w:jc w:val="center"/>
      </w:pPr>
    </w:p>
    <w:p>
      <w:pPr>
        <w:spacing w:after="40" w:before="300"/>
        <w:jc w:val="center"/>
      </w:pPr>
      <w:r>
        <w:rPr>
          <w:rFonts w:ascii="Calibri" w:cs="Calibri" w:eastAsia="Calibri" w:hAnsi="Calibri"/>
          <w:b/>
          <w:bCs/>
          <w:color w:val="2E5496"/>
          <w:sz w:val="30"/>
          <w:szCs w:val="30"/>
        </w:rPr>
        <w:t xml:space="preserve">Fase 3</w:t>
      </w:r>
    </w:p>
    <w:p>
      <w:pPr>
        <w:jc w:val="center"/>
      </w:pPr>
      <w:r>
        <w:rPr>
          <w:rFonts w:ascii="Calibri" w:cs="Calibri" w:eastAsia="Calibri" w:hAnsi="Calibri"/>
          <w:color w:val="1F3864"/>
          <w:sz w:val="26"/>
          <w:szCs w:val="26"/>
        </w:rPr>
        <w:t xml:space="preserve">De investigación a innovación</w:t>
      </w:r>
    </w:p>
    <w:p>
      <w:pPr>
        <w:spacing w:after="260" w:before="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18 de junio de 2026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Contenido de esta carpeta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1. Memo de la Sesión 4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2. MVP vs. prototipo (marco conceptual)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3. El pitch de PuBlitec: estructura y guion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4. Mejoras de la nueva versión del pitch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1. Memo de la Sesión 4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sesión trabajó tres bloques: el Producto Mínimo Viable, las colaboraciones y alianzas, y una introducción al pitch de cara al entregable final.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5496"/>
        </w:rPr>
        <w:t xml:space="preserve">Producto Mínimo Viable</w:t>
      </w:r>
    </w:p>
    <w:tbl>
      <w:tblPr>
        <w:tblW w:type="pct" w:w="100%"/>
        <w:tblBorders>
          <w:top w:val="single" w:color="7F6000" w:sz="2"/>
          <w:left w:val="single" w:color="7F6000" w:sz="14"/>
          <w:bottom w:val="single" w:color="7F6000" w:sz="2"/>
          <w:right w:val="single" w:color="7F600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«No necesito todavía saber si el jugo de naranja sabe rico; necesito saber si están dispuestos a comprármelo.» Un prototipo puede gustar y aun así no decir nada sobre la disposición a pagar. Esa es la pregunta que el MVP responde y el prototipo no.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analogía de cierre: no construir primero una rueda, luego el chasis y al final el carro, sino iterar con versiones mínimas completas y utilizables (patineta → monopatín → moto → carro). Cada versión ya sirve y genera aprendizaje de mercado.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i/>
          <w:iCs/>
          <w:color w:val="2E5496"/>
        </w:rPr>
        <w:t xml:space="preserve">Los cuatro principios del MVP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Concretar la idea. </w:t>
      </w:r>
      <w:r>
        <w:rPr>
          <w:rFonts w:ascii="Calibri" w:cs="Calibri" w:eastAsia="Calibri" w:hAnsi="Calibri"/>
          <w:sz w:val="22"/>
          <w:szCs w:val="22"/>
        </w:rPr>
        <w:t xml:space="preserve">Concepto claro, explicable de forma simple («que hasta una abuelita lo entienda») y en términos de mercado, no académicos.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Definir la viabilidad mínima. </w:t>
      </w:r>
      <w:r>
        <w:rPr>
          <w:rFonts w:ascii="Calibri" w:cs="Calibri" w:eastAsia="Calibri" w:hAnsi="Calibri"/>
          <w:sz w:val="22"/>
          <w:szCs w:val="22"/>
        </w:rPr>
        <w:t xml:space="preserve">Tener claro qué necesito aprender del cliente; no siempre se requiere el producto totalmente listo.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Construir para aprender. </w:t>
      </w:r>
      <w:r>
        <w:rPr>
          <w:rFonts w:ascii="Calibri" w:cs="Calibri" w:eastAsia="Calibri" w:hAnsi="Calibri"/>
          <w:sz w:val="22"/>
          <w:szCs w:val="22"/>
        </w:rPr>
        <w:t xml:space="preserve">En la fase inicial las fallas enseñan más que los aciertos; se trata de provocar reacciones.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Iterar rápidamente. </w:t>
      </w:r>
      <w:r>
        <w:rPr>
          <w:rFonts w:ascii="Calibri" w:cs="Calibri" w:eastAsia="Calibri" w:hAnsi="Calibri"/>
          <w:sz w:val="22"/>
          <w:szCs w:val="22"/>
        </w:rPr>
        <w:t xml:space="preserve">Lanzar, mirar cómo va, sacar la siguiente. El ciclo es lanzar → aprender → adaptar → volver a lanzar.</w:t>
      </w:r>
    </w:p>
    <w:tbl>
      <w:tblPr>
        <w:tblW w:type="pct" w:w="100%"/>
        <w:tblBorders>
          <w:top w:val="single" w:color="7F6000" w:sz="2"/>
          <w:left w:val="single" w:color="7F6000" w:sz="14"/>
          <w:bottom w:val="single" w:color="7F6000" w:sz="2"/>
          <w:right w:val="single" w:color="7F600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«Si no te avergüenza la primera versión de tu producto, lo lanzaste demasiado tarde.» La trampa de la academia es prometer «la próxima versión»: si le ofrezco al cliente algo mejor para dentro de seis meses, nunca me compra lo de hoy.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5496"/>
        </w:rPr>
        <w:t xml:space="preserve">Colaboraciones y alianzas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alianzas expanden el impacto: identificar fortalezas y vacíos, buscar aliados que abran puertas, hacer networking, divulgar en LinkedIn y comunicar sin el «ego de la investigación». Tipos: con la industria, consorcios de investigación y acuerdos de licenciamiento. Sobre el miedo a que copien la idea: nadie pide la «salsa secreta» en la primera reunión; se firman acuerdos de confidencialidad y el miedo a hablar no puede paralizar.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5496"/>
        </w:rPr>
        <w:t xml:space="preserve">Mitos del pitch (Georgia Tech)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«Mientras más largo, mejor» — falso: 10 a 15 diapositivas enfocadas en lo esencial.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«El diseño espectacular lo es todo» — el mensaje importa más que el diseño.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«El producto se vende solo» — hay que explicar problema, mercado y modelo de negocio.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«Los números impresionantes garantizan el éxito» — deben ser realistas y respaldados.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«Enfocarme solo en mi producto» — también evalúan equipo, mercado y competencia.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«Un pitch estándar sirve para cualquier audiencia» — hay que adaptarlo al público.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 «Debo responder todas las preguntas» — es una introducción, no un documento exhaustivo.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 «Si no levanto plata, fracasé» — el propósito real es conseguir un segundo encuentro.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5496"/>
        </w:rPr>
        <w:t xml:space="preserve">Metodología AIDA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716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Pregunta que responde</w:t>
            </w:r>
          </w:p>
        </w:tc>
      </w:tr>
      <w:tr>
        <w:trPr>
          <w:tblHeader w:val="false"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Atención</w:t>
            </w:r>
          </w:p>
        </w:tc>
        <w:tc>
          <w:tcPr>
            <w:tcW w:type="dxa" w:w="7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¿Cómo hago que me escuches? (titular que enganche).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Interés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¿Cómo mantengo la conexión? (por qué el tema es relevante).</w:t>
            </w:r>
          </w:p>
        </w:tc>
      </w:tr>
      <w:tr>
        <w:trPr>
          <w:tblHeader w:val="false"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Deseo</w:t>
            </w:r>
          </w:p>
        </w:tc>
        <w:tc>
          <w:tcPr>
            <w:tcW w:type="dxa" w:w="7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¿Cómo logro que crean en mi idea? (beneficios únicos y diferenciados).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Acción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¿Qué quiero que hagan después? (call to action).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2. MVP vs. prototipo (marco conceptual aplicado)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Prototipo</w:t>
            </w:r>
          </w:p>
        </w:tc>
        <w:tc>
          <w:tcPr>
            <w:tcW w:type="dxa" w:w="368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Qué prueba</w:t>
            </w:r>
          </w:p>
        </w:tc>
        <w:tc>
          <w:tcPr>
            <w:tcW w:type="dxa" w:w="3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Que la tecnología funciona; que la solución se entiende y es usable.</w:t>
            </w:r>
          </w:p>
        </w:tc>
        <w:tc>
          <w:tcPr>
            <w:tcW w:type="dxa" w:w="3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 el segmento está realmente interesado en adoptar y pagar.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 PuBlitec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 prototipo TRL 6 operativo (los tres módulos con IA y RAG).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disposición del financiador y del municipio a adoptar y pagar, y el fee de éxito como prueba de modelo.</w:t>
            </w:r>
          </w:p>
        </w:tc>
      </w:tr>
      <w:tr>
        <w:trPr>
          <w:tblHeader w:val="false"/>
        </w:trP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Foco de validación</w:t>
            </w:r>
          </w:p>
        </w:tc>
        <w:tc>
          <w:tcPr>
            <w:tcW w:type="dxa" w:w="3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Coherencia técnica y metodológica.</w:t>
            </w:r>
          </w:p>
        </w:tc>
        <w:tc>
          <w:tcPr>
            <w:tcW w:type="dxa" w:w="36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Disposición a adoptar y a pagar (las entrevistas de la Fase 2).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Traducción para el discurso de PuBlitec: enfocar la validación en la disposición a adoptar y pagar, no solo en que la plataforma funcione; no prometer la «próxima versión»; y salir con lo que se tiene hoy, siendo claros con los early adopters sobre el estado del producto.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3. El pitch de PuBlitec: estructura y guion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Formato de la convocatoria: presentación verbal de 5 minutos, máximo 10 diapositivas, siguiendo la plantilla oficial (que responde al orden de la rúbrica). Los evaluadores pueden no tener acceso a los anexos, así que todo lo relevante debe estar en el pitch.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5496"/>
        </w:rPr>
        <w:t xml:space="preserve">Las tres apuestas comunicativas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Anclar en una cifra inolvidable: </w:t>
      </w:r>
      <w:r>
        <w:rPr>
          <w:rFonts w:ascii="Calibri" w:cs="Calibri" w:eastAsia="Calibri" w:hAnsi="Calibri"/>
          <w:sz w:val="22"/>
          <w:szCs w:val="22"/>
        </w:rPr>
        <w:t xml:space="preserve">$200 billones al año pasan por la MGA, y el 87,9 % de los municipios la formula con equipos de tres personas. 759 de 1.104 en riesgo fiscal.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Demostrar tracción, no potencial: </w:t>
      </w:r>
      <w:r>
        <w:rPr>
          <w:rFonts w:ascii="Calibri" w:cs="Calibri" w:eastAsia="Calibri" w:hAnsi="Calibri"/>
          <w:sz w:val="22"/>
          <w:szCs w:val="22"/>
        </w:rPr>
        <w:t xml:space="preserve">Marinilla (usuario piloto), Bancolombia (co-creación) y Gobernación de Antioquia (convocante).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Convertir el modelo de negocio en el cierre: </w:t>
      </w:r>
      <w:r>
        <w:rPr>
          <w:rFonts w:ascii="Calibri" w:cs="Calibri" w:eastAsia="Calibri" w:hAnsi="Calibri"/>
          <w:sz w:val="22"/>
          <w:szCs w:val="22"/>
        </w:rPr>
        <w:t xml:space="preserve">el fee de éxito del 1 % resuelve la objeción presupuestal del cliente público.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5496"/>
        </w:rPr>
        <w:t xml:space="preserve">Estructura de las diapositivas (guion de 5 minutos)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Lámina</w:t>
            </w:r>
          </w:p>
        </w:tc>
        <w:tc>
          <w:tcPr>
            <w:tcW w:type="dxa" w:w="746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Mensaje central</w:t>
            </w:r>
          </w:p>
        </w:tc>
      </w:tr>
      <w:tr>
        <w:trPr>
          <w:tblHeader w:val="false"/>
        </w:trP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· Portada</w:t>
            </w:r>
          </w:p>
        </w:tc>
        <w:tc>
          <w:tcPr>
            <w:tcW w:type="dxa" w:w="7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PuBlitec y la frase de impacto: puede canalizar hasta $1,2 billones al año hacia los municipios de menor capacidad.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· Necesidad y oportunidad</w:t>
            </w:r>
          </w:p>
        </w:tc>
        <w:tc>
          <w:tcPr>
            <w:tcW w:type="dxa" w:w="7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 tres cifras del problema: $200 billones/año por la MGA · 87,9 % cat. 5 y 6 con equipos de 3 · 759/1.104 en riesgo fiscal.</w:t>
            </w:r>
          </w:p>
        </w:tc>
      </w:tr>
      <w:tr>
        <w:trPr>
          <w:tblHeader w:val="false"/>
        </w:trP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 · Presentación del producto</w:t>
            </w:r>
          </w:p>
        </w:tc>
        <w:tc>
          <w:tcPr>
            <w:tcW w:type="dxa" w:w="7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Tres módulos (Estructurador, Gestor, Banco), TRL 6 con datos oficiales en vivo. Diferenciador: la IA pre-evalúa contra la rúbrica antes del envío. Modelo: fee de éxito 1 %.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 · Propuesta de valor</w:t>
            </w:r>
          </w:p>
        </w:tc>
        <w:tc>
          <w:tcPr>
            <w:tcW w:type="dxa" w:w="7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 la formulación en papel a la decisión asistida por datos (clustering de municipios por capacidad).</w:t>
            </w:r>
          </w:p>
        </w:tc>
      </w:tr>
      <w:tr>
        <w:trPr>
          <w:tblHeader w:val="false"/>
        </w:trP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· Antecedentes, aliados y PI</w:t>
            </w:r>
          </w:p>
        </w:tc>
        <w:tc>
          <w:tcPr>
            <w:tcW w:type="dxa" w:w="7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Marinilla, Bancolombia, Gobernación; &gt;$8.000 M de transferencia previa; titularidad EAFIT 100 %.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 · Plan de actividades e hitos</w:t>
            </w:r>
          </w:p>
        </w:tc>
        <w:tc>
          <w:tcPr>
            <w:tcW w:type="dxa" w:w="7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Impacto de la convocatoria (TRL 6→7, CRL 6) y los ocho hitos verificables (M3–M12).</w:t>
            </w:r>
          </w:p>
        </w:tc>
      </w:tr>
      <w:tr>
        <w:trPr>
          <w:tblHeader w:val="false"/>
        </w:trP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 · Hoja de ruta</w:t>
            </w:r>
          </w:p>
        </w:tc>
        <w:tc>
          <w:tcPr>
            <w:tcW w:type="dxa" w:w="7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Corto, mediano y largo plazo en desarrollo técnico, mercado, financiación y transferencia.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· Equipo</w:t>
            </w:r>
          </w:p>
        </w:tc>
        <w:tc>
          <w:tcPr>
            <w:tcW w:type="dxa" w:w="7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IP, coinvestigadores, consultores y asistentes (2 PhD, 3 MSc, pregrado).</w:t>
            </w:r>
          </w:p>
        </w:tc>
      </w:tr>
      <w:tr>
        <w:trPr>
          <w:tblHeader w:val="false"/>
        </w:trP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 · Cierre</w:t>
            </w:r>
          </w:p>
        </w:tc>
        <w:tc>
          <w:tcPr>
            <w:tcW w:type="dxa" w:w="74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PuBlitec convierte $8.000 M de transferencia metodológica en un activo que puede canalizar $1,2 billones al año hacia los territorios.</w:t>
            </w:r>
          </w:p>
        </w:tc>
      </w:tr>
    </w:tbl>
    <w:tbl>
      <w:tblPr>
        <w:tblW w:type="pct" w:w="100%"/>
        <w:tblBorders>
          <w:top w:val="single" w:color="7F6000" w:sz="2"/>
          <w:left w:val="single" w:color="7F6000" w:sz="14"/>
          <w:bottom w:val="single" w:color="7F6000" w:sz="2"/>
          <w:right w:val="single" w:color="7F600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Regla de honestidad (congruencia)</w:t>
            </w:r>
          </w:p>
          <w:p>
            <w:pPr>
              <w:spacing w:after="4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decir «validado con el mercado» mientras las entrevistas no estén hechas: decir «tenemos manifestaciones de interés documentadas y una ronda de validación en curso». La parte técnica ocupa máximo 30 segundos. Practicar cronometrado a 130–140 palabras por minuto.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4. Mejoras de la nueva versión del pitch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Sobre el primer pitch se construyó una versión actualizada con cuatro cambios: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Frase de cifra de impacto </w:t>
      </w:r>
      <w:r>
        <w:rPr>
          <w:rFonts w:ascii="Calibri" w:cs="Calibri" w:eastAsia="Calibri" w:hAnsi="Calibri"/>
          <w:sz w:val="22"/>
          <w:szCs w:val="22"/>
        </w:rPr>
        <w:t xml:space="preserve">en la portada y en el cierre (AIDA: atención y acción).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Modelo de negocio (fee de éxito 1 %) </w:t>
      </w:r>
      <w:r>
        <w:rPr>
          <w:rFonts w:ascii="Calibri" w:cs="Calibri" w:eastAsia="Calibri" w:hAnsi="Calibri"/>
          <w:sz w:val="22"/>
          <w:szCs w:val="22"/>
        </w:rPr>
        <w:t xml:space="preserve">que antes no aparecía en ninguna lámina, siendo el diferenciador comercial más fuerte.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Actualización de junio: </w:t>
      </w:r>
      <w:r>
        <w:rPr>
          <w:rFonts w:ascii="Calibri" w:cs="Calibri" w:eastAsia="Calibri" w:hAnsi="Calibri"/>
          <w:sz w:val="22"/>
          <w:szCs w:val="22"/>
        </w:rPr>
        <w:t xml:space="preserve">TRL 6 operativo con datos oficiales reales en vivo (SECOP, SGR, MDM).</w:t>
      </w:r>
    </w:p>
    <w:p>
      <w:pPr>
        <w:pStyle w:val="ListParagraph"/>
        <w:numPr>
          <w:ilvl w:val="0"/>
          <w:numId w:val="1"/>
        </w:numPr>
        <w:spacing w:after="70" w:line="272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Claridad en la lámina de valor </w:t>
      </w:r>
      <w:r>
        <w:rPr>
          <w:rFonts w:ascii="Calibri" w:cs="Calibri" w:eastAsia="Calibri" w:hAnsi="Calibri"/>
          <w:sz w:val="22"/>
          <w:szCs w:val="22"/>
        </w:rPr>
        <w:t xml:space="preserve">(«Propuesta de valor y diferenciación» en vez de un título confuso).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archivo de la presentación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PuBlitec_Pitch_v2.pptx</w:t>
      </w:r>
      <w:r>
        <w:rPr>
          <w:rFonts w:ascii="Calibri" w:cs="Calibri" w:eastAsia="Calibri" w:hAnsi="Calibri"/>
          <w:sz w:val="22"/>
          <w:szCs w:val="22"/>
        </w:rPr>
        <w:t xml:space="preserve">) es el entregable de esta fase; este documento recoge su estructura y guion.</w:t>
      </w:r>
    </w:p>
    <w:sectPr>
      <w:headerReference w:type="default" r:id="rId7"/>
      <w:footerReference w:type="default" r:id="rId8"/>
      <w:pgSz w:w="12240" w:h="15840" w:orient="portrait"/>
      <w:pgMar w:top="1200" w:right="1300" w:bottom="11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PuBlitec · Fase 3 — De investigación a innovación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PuBlitec · Fase 3 — De investigación a innovación</dc:title>
  <dc:creator>Valor Público — EAFIT</dc:creator>
  <cp:lastModifiedBy>Un-named</cp:lastModifiedBy>
  <cp:revision>1</cp:revision>
  <dcterms:created xsi:type="dcterms:W3CDTF">2026-07-21T20:31:29.181Z</dcterms:created>
  <dcterms:modified xsi:type="dcterms:W3CDTF">2026-07-21T20:31:29.181Z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