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40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PuBlitec</w:t>
      </w:r>
    </w:p>
    <w:p>
      <w:pPr>
        <w:jc w:val="center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Carpeta del proyecto · Lab to Market EAFIT 2026</w:t>
      </w:r>
    </w:p>
    <w:p>
      <w:pPr>
        <w:pBdr>
          <w:bottom w:val="single" w:color="C00000" w:sz="6" w:space="8"/>
        </w:pBdr>
        <w:spacing w:before="60"/>
        <w:jc w:val="center"/>
      </w:pPr>
    </w:p>
    <w:p>
      <w:pPr>
        <w:spacing w:after="40" w:before="300"/>
        <w:jc w:val="center"/>
      </w:pPr>
      <w:r>
        <w:rPr>
          <w:rFonts w:ascii="Calibri" w:cs="Calibri" w:eastAsia="Calibri" w:hAnsi="Calibri"/>
          <w:b/>
          <w:bCs/>
          <w:color w:val="2E5496"/>
          <w:sz w:val="30"/>
          <w:szCs w:val="30"/>
        </w:rPr>
        <w:t xml:space="preserve">Fase 4</w:t>
      </w:r>
    </w:p>
    <w:p>
      <w:pPr>
        <w:jc w:val="center"/>
      </w:pPr>
      <w:r>
        <w:rPr>
          <w:rFonts w:ascii="Calibri" w:cs="Calibri" w:eastAsia="Calibri" w:hAnsi="Calibri"/>
          <w:color w:val="1F3864"/>
          <w:sz w:val="26"/>
          <w:szCs w:val="26"/>
        </w:rPr>
        <w:t xml:space="preserve">Herramientas para el desarrollo de negocios</w:t>
      </w:r>
    </w:p>
    <w:p>
      <w:pPr>
        <w:spacing w:after="260" w:before="2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9 de julio de 2026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Contenido de esta carpeta</w:t>
      </w:r>
    </w:p>
    <w:p>
      <w:pPr>
        <w:spacing w:after="3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1. Lean Canvas / Business Model Canvas</w:t>
      </w:r>
    </w:p>
    <w:p>
      <w:pPr>
        <w:spacing w:after="3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2. Análisis PESTEL de PuBlitec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3864"/>
        </w:rPr>
        <w:t xml:space="preserve">1. Lean Canvas / Business Model Canvas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Síntesis del Lean Canvas que articula la validación problema-solución de PuBlitec con los actores del mercado real (integrada también en el Anexo 02):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7260"/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rPr>
          <w:tblHeader w:val="false"/>
        </w:trP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Problema</w:t>
            </w:r>
          </w:p>
        </w:tc>
        <w:tc>
          <w:tcPr>
            <w:tcW w:type="dxa" w:w="72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Baja capacidad técnica para formular proyectos MGA en municipios cat. 5 y 6; dependencia de consultoría externa con costos hundidos; pérdida de memoria institucional entre periodos.</w:t>
            </w:r>
          </w:p>
        </w:tc>
      </w:tr>
      <w:tr>
        <w:trPr>
          <w:tblHeader w:val="false"/>
        </w:trP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Segmentos de cliente</w:t>
            </w:r>
          </w:p>
        </w:tc>
        <w:tc>
          <w:tcPr>
            <w:tcW w:type="dxa" w:w="7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(a) Pagadores: gobernaciones, fondos departamentales (IDEA), ministerios sectoriales. (b) Usuarios: equipos municipales de planeación cat. 5 y 6.</w:t>
            </w:r>
          </w:p>
        </w:tc>
      </w:tr>
      <w:tr>
        <w:trPr>
          <w:tblHeader w:val="false"/>
        </w:trP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Propuesta de valor única</w:t>
            </w:r>
          </w:p>
        </w:tc>
        <w:tc>
          <w:tcPr>
            <w:tcW w:type="dxa" w:w="72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Plataforma con IA generativa nativa en MGA; ciclo cerrado rúbrica → pre-evaluación → mejora antes del envío; modelo de fee de éxito que elimina el riesgo financiero del municipio.</w:t>
            </w:r>
          </w:p>
        </w:tc>
      </w:tr>
      <w:tr>
        <w:trPr>
          <w:tblHeader w:val="false"/>
        </w:trP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Solución (canales)</w:t>
            </w:r>
          </w:p>
        </w:tc>
        <w:tc>
          <w:tcPr>
            <w:tcW w:type="dxa" w:w="7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SaaS multi-tenant con aislamiento RLS. Adopción institucional vía entidad convocante (gobernación o IDEA), con cascada hacia municipios usuarios.</w:t>
            </w:r>
          </w:p>
        </w:tc>
      </w:tr>
      <w:tr>
        <w:trPr>
          <w:tblHeader w:val="false"/>
        </w:trP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Métricas clave</w:t>
            </w:r>
          </w:p>
        </w:tc>
        <w:tc>
          <w:tcPr>
            <w:tcW w:type="dxa" w:w="72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Tasa de aprobación de proyectos formulados; tiempo promedio de formulación; reducción de rondas de corrección; NPS del usuario municipal; recursos aprobados a través de la plataforma.</w:t>
            </w:r>
          </w:p>
        </w:tc>
      </w:tr>
      <w:tr>
        <w:trPr>
          <w:tblHeader w:val="false"/>
        </w:trP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Ventaja injusta</w:t>
            </w:r>
          </w:p>
        </w:tc>
        <w:tc>
          <w:tcPr>
            <w:tcW w:type="dxa" w:w="7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Conocimiento experto codificado del grupo Valor Público (&gt;$8.000 M en transferencias previas) + corpus RAG curado acumulativo + relación temprana con la Gobernación de Antioquia.</w:t>
            </w:r>
          </w:p>
        </w:tc>
      </w:tr>
      <w:tr>
        <w:trPr>
          <w:tblHeader w:val="false"/>
        </w:trP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Estructura de costos</w:t>
            </w:r>
          </w:p>
        </w:tc>
        <w:tc>
          <w:tcPr>
            <w:tcW w:type="dxa" w:w="72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Infraestructura cloud, API de IA (Claude, Voyage AI), equipo técnico y metodológico.</w:t>
            </w:r>
          </w:p>
        </w:tc>
      </w:tr>
      <w:tr>
        <w:trPr>
          <w:tblHeader w:val="false"/>
        </w:trP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Estructura de ingresos</w:t>
            </w:r>
          </w:p>
        </w:tc>
        <w:tc>
          <w:tcPr>
            <w:tcW w:type="dxa" w:w="7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Fee de éxito del 1 % sobre recursos aprobados, facturado a la entidad convocante. Solo se causa pago si el proyecto es aprobado.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3864"/>
        </w:rPr>
        <w:t xml:space="preserve">2. Análisis PESTEL de PuBlitec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PESTEL mapea las fuerzas del entorno. La mayoría de los vectores juegan a favor y son simultáneos, lo que sustenta el «por qué ahora» del pitch. Los factores marcados con </w:t>
      </w:r>
      <w:r>
        <w:rPr>
          <w:rFonts w:ascii="Calibri" w:cs="Calibri" w:eastAsia="Calibri" w:hAnsi="Calibri"/>
          <w:b/>
          <w:bCs/>
          <w:color w:val="C55A11"/>
          <w:sz w:val="22"/>
          <w:szCs w:val="22"/>
        </w:rPr>
        <w:t xml:space="preserve">★</w:t>
      </w:r>
      <w:r>
        <w:rPr>
          <w:rFonts w:ascii="Calibri" w:cs="Calibri" w:eastAsia="Calibri" w:hAnsi="Calibri"/>
          <w:sz w:val="22"/>
          <w:szCs w:val="22"/>
        </w:rPr>
        <w:t xml:space="preserve"> conviene llevarlos directamente a la presentación.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2E5496"/>
        </w:rPr>
        <w:t xml:space="preserve">P · Político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3050"/>
        <w:gridCol w:w="6310"/>
      </w:tblGrid>
      <w:tr>
        <w:trPr>
          <w:tblHeader/>
        </w:trPr>
        <w:tc>
          <w:tcPr>
            <w:tcW w:type="dxa" w:w="3050"/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Factor</w:t>
            </w:r>
          </w:p>
        </w:tc>
        <w:tc>
          <w:tcPr>
            <w:tcW w:type="dxa" w:w="6310"/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significa para PuBlitec</w:t>
            </w:r>
          </w:p>
        </w:tc>
      </w:tr>
      <w:tr>
        <w:trPr>
          <w:tblHeader w:val="false"/>
        </w:trPr>
        <w:tc>
          <w:tcPr>
            <w:tcW w:type="dxa" w:w="30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Reforma del SGP (AL 03 de 2024) ★</w:t>
            </w:r>
          </w:p>
        </w:tc>
        <w:tc>
          <w:tcPr>
            <w:tcW w:type="dxa" w:w="631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Eleva la participación territorial en los ICN del 20 % (2024) hacia 39,5–46,5 % en 2034: más recursos, más proyectos MGA, más presión sobre su calidad. Crece la demanda del producto.</w:t>
            </w:r>
          </w:p>
        </w:tc>
      </w:tr>
      <w:tr>
        <w:trPr>
          <w:tblHeader w:val="false"/>
        </w:trPr>
        <w:tc>
          <w:tcPr>
            <w:tcW w:type="dxa" w:w="30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Política de Gobierno Digital (MinTIC 2024)</w:t>
            </w:r>
          </w:p>
        </w:tc>
        <w:tc>
          <w:tcPr>
            <w:tcW w:type="dxa" w:w="63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Prioriza la transformación digital de las entidades territoriales: marco que habilita una solución GovTech.</w:t>
            </w:r>
          </w:p>
        </w:tc>
      </w:tr>
      <w:tr>
        <w:trPr>
          <w:tblHeader w:val="false"/>
        </w:trPr>
        <w:tc>
          <w:tcPr>
            <w:tcW w:type="dxa" w:w="30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Descentralización y autonomía territorial</w:t>
            </w:r>
          </w:p>
        </w:tc>
        <w:tc>
          <w:tcPr>
            <w:tcW w:type="dxa" w:w="631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El fortalecimiento de la capacidad municipal es prioridad política, alineada con la promesa de valor.</w:t>
            </w:r>
          </w:p>
        </w:tc>
      </w:tr>
      <w:tr>
        <w:trPr>
          <w:tblHeader w:val="false"/>
        </w:trPr>
        <w:tc>
          <w:tcPr>
            <w:tcW w:type="dxa" w:w="30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Ciclo electoral (locales 2027)</w:t>
            </w:r>
          </w:p>
        </w:tc>
        <w:tc>
          <w:tcPr>
            <w:tcW w:type="dxa" w:w="63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Primeros y últimos 12 meses de gobierno de baja receptividad; cada cambio renueva los equipos técnicos.</w:t>
            </w:r>
          </w:p>
        </w:tc>
      </w:tr>
      <w:tr>
        <w:trPr>
          <w:tblHeader w:val="false"/>
        </w:trPr>
        <w:tc>
          <w:tcPr>
            <w:tcW w:type="dxa" w:w="30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Voluntad de aliados públicos</w:t>
            </w:r>
          </w:p>
        </w:tc>
        <w:tc>
          <w:tcPr>
            <w:tcW w:type="dxa" w:w="631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Gobernación de Antioquia e IDEA como potenciales convocantes: apalancan la entrada por el lado del pagador.</w:t>
            </w:r>
          </w:p>
        </w:tc>
      </w:tr>
    </w:tbl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2E5496"/>
        </w:rPr>
        <w:t xml:space="preserve">E · Económico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3050"/>
        <w:gridCol w:w="6310"/>
      </w:tblGrid>
      <w:tr>
        <w:trPr>
          <w:tblHeader/>
        </w:trPr>
        <w:tc>
          <w:tcPr>
            <w:tcW w:type="dxa" w:w="3050"/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Factor</w:t>
            </w:r>
          </w:p>
        </w:tc>
        <w:tc>
          <w:tcPr>
            <w:tcW w:type="dxa" w:w="6310"/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significa para PuBlitec</w:t>
            </w:r>
          </w:p>
        </w:tc>
      </w:tr>
      <w:tr>
        <w:trPr>
          <w:tblHeader w:val="false"/>
        </w:trPr>
        <w:tc>
          <w:tcPr>
            <w:tcW w:type="dxa" w:w="30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Tamaño de la inversión territorial ★</w:t>
            </w:r>
          </w:p>
        </w:tc>
        <w:tc>
          <w:tcPr>
            <w:tcW w:type="dxa" w:w="631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Más de $200 billones/año pasan por la MGA (SGR $30,9 B · SGP $80,9 B · PGN inversión $99,3 B): el TAM.</w:t>
            </w:r>
          </w:p>
        </w:tc>
      </w:tr>
      <w:tr>
        <w:trPr>
          <w:tblHeader w:val="false"/>
        </w:trPr>
        <w:tc>
          <w:tcPr>
            <w:tcW w:type="dxa" w:w="30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Restricción presupuestal municipal ★</w:t>
            </w:r>
          </w:p>
        </w:tc>
        <w:tc>
          <w:tcPr>
            <w:tcW w:type="dxa" w:w="63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Baja capacidad de gasto del usuario final; el fee de éxito 1 % la convierte en ventaja comercial.</w:t>
            </w:r>
          </w:p>
        </w:tc>
      </w:tr>
      <w:tr>
        <w:trPr>
          <w:tblHeader w:val="false"/>
        </w:trPr>
        <w:tc>
          <w:tcPr>
            <w:tcW w:type="dxa" w:w="30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Costo de la consultoría externa</w:t>
            </w:r>
          </w:p>
        </w:tc>
        <w:tc>
          <w:tcPr>
            <w:tcW w:type="dxa" w:w="631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$8 a $40 millones por proyecto, que el municipio paga aun si no se aprueba: el costo del statu quo.</w:t>
            </w:r>
          </w:p>
        </w:tc>
      </w:tr>
      <w:tr>
        <w:trPr>
          <w:tblHeader w:val="false"/>
        </w:trPr>
        <w:tc>
          <w:tcPr>
            <w:tcW w:type="dxa" w:w="30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Ecosistema de capital GovTech ★</w:t>
            </w:r>
          </w:p>
        </w:tc>
        <w:tc>
          <w:tcPr>
            <w:tcW w:type="dxa" w:w="63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VC LatAm USD 4,1 mil M (2025); GovTech global CAGR 15,8 %; tickets BID Lab USD 150 mil a 1 M.</w:t>
            </w:r>
          </w:p>
        </w:tc>
      </w:tr>
      <w:tr>
        <w:trPr>
          <w:tblHeader w:val="false"/>
        </w:trPr>
        <w:tc>
          <w:tcPr>
            <w:tcW w:type="dxa" w:w="30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Crédito territorial</w:t>
            </w:r>
          </w:p>
        </w:tc>
        <w:tc>
          <w:tcPr>
            <w:tcW w:type="dxa" w:w="631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Relevante para la co-creación con Bancolombia: tasas y liquidez afectan el uso del IGM-B como señal.</w:t>
            </w:r>
          </w:p>
        </w:tc>
      </w:tr>
    </w:tbl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2E5496"/>
        </w:rPr>
        <w:t xml:space="preserve">S · Social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3050"/>
        <w:gridCol w:w="6310"/>
      </w:tblGrid>
      <w:tr>
        <w:trPr>
          <w:tblHeader/>
        </w:trPr>
        <w:tc>
          <w:tcPr>
            <w:tcW w:type="dxa" w:w="3050"/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Factor</w:t>
            </w:r>
          </w:p>
        </w:tc>
        <w:tc>
          <w:tcPr>
            <w:tcW w:type="dxa" w:w="6310"/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significa para PuBlitec</w:t>
            </w:r>
          </w:p>
        </w:tc>
      </w:tr>
      <w:tr>
        <w:trPr>
          <w:tblHeader w:val="false"/>
        </w:trPr>
        <w:tc>
          <w:tcPr>
            <w:tcW w:type="dxa" w:w="30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Baja capacidad institucional ★</w:t>
            </w:r>
          </w:p>
        </w:tc>
        <w:tc>
          <w:tcPr>
            <w:tcW w:type="dxa" w:w="631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87,9 % de los 1.104 municipios es cat. 6; formulan con equipos de tres y alta rotación: el dolor que origina el producto.</w:t>
            </w:r>
          </w:p>
        </w:tc>
      </w:tr>
      <w:tr>
        <w:trPr>
          <w:tblHeader w:val="false"/>
        </w:trPr>
        <w:tc>
          <w:tcPr>
            <w:tcW w:type="dxa" w:w="30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Costo social de proyectos no aprobados</w:t>
            </w:r>
          </w:p>
        </w:tc>
        <w:tc>
          <w:tcPr>
            <w:tcW w:type="dxa" w:w="63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Obras retrasadas y presión de comunidad y concejo; la aprobación tiene retorno social directo.</w:t>
            </w:r>
          </w:p>
        </w:tc>
      </w:tr>
      <w:tr>
        <w:trPr>
          <w:tblHeader w:val="false"/>
        </w:trPr>
        <w:tc>
          <w:tcPr>
            <w:tcW w:type="dxa" w:w="30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Brecha de talento técnico</w:t>
            </w:r>
          </w:p>
        </w:tc>
        <w:tc>
          <w:tcPr>
            <w:tcW w:type="dxa" w:w="631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Escasez de profesionales formados en MGA fuera de las capitales.</w:t>
            </w:r>
          </w:p>
        </w:tc>
      </w:tr>
      <w:tr>
        <w:trPr>
          <w:tblHeader w:val="false"/>
        </w:trPr>
        <w:tc>
          <w:tcPr>
            <w:tcW w:type="dxa" w:w="30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Equidad territorial</w:t>
            </w:r>
          </w:p>
        </w:tc>
        <w:tc>
          <w:tcPr>
            <w:tcW w:type="dxa" w:w="63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El IGM-B debe comunicarse como fortalecimiento de capacidades y nivel de acompañamiento, no como scoring de exclusión (redlining).</w:t>
            </w:r>
          </w:p>
        </w:tc>
      </w:tr>
      <w:tr>
        <w:trPr>
          <w:tblHeader w:val="false"/>
        </w:trPr>
        <w:tc>
          <w:tcPr>
            <w:tcW w:type="dxa" w:w="30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Aceptación de la IA en lo público</w:t>
            </w:r>
          </w:p>
        </w:tc>
        <w:tc>
          <w:tcPr>
            <w:tcW w:type="dxa" w:w="631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Confianza y resistencia al cambio; se mitiga con el enfoque human-in-the-loop.</w:t>
            </w:r>
          </w:p>
        </w:tc>
      </w:tr>
    </w:tbl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2E5496"/>
        </w:rPr>
        <w:t xml:space="preserve">T · Tecnológico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3050"/>
        <w:gridCol w:w="6310"/>
      </w:tblGrid>
      <w:tr>
        <w:trPr>
          <w:tblHeader/>
        </w:trPr>
        <w:tc>
          <w:tcPr>
            <w:tcW w:type="dxa" w:w="3050"/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Factor</w:t>
            </w:r>
          </w:p>
        </w:tc>
        <w:tc>
          <w:tcPr>
            <w:tcW w:type="dxa" w:w="6310"/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significa para PuBlitec</w:t>
            </w:r>
          </w:p>
        </w:tc>
      </w:tr>
      <w:tr>
        <w:trPr>
          <w:tblHeader w:val="false"/>
        </w:trPr>
        <w:tc>
          <w:tcPr>
            <w:tcW w:type="dxa" w:w="30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IA generativa + RAG vertical</w:t>
            </w:r>
          </w:p>
        </w:tc>
        <w:tc>
          <w:tcPr>
            <w:tcW w:type="dxa" w:w="631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 convergencia de LLMs con recuperación anclada al corpus del DNP es la frontera competitiva.</w:t>
            </w:r>
          </w:p>
        </w:tc>
      </w:tr>
      <w:tr>
        <w:trPr>
          <w:tblHeader w:val="false"/>
        </w:trPr>
        <w:tc>
          <w:tcPr>
            <w:tcW w:type="dxa" w:w="30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Maduración digital (IGD MinTIC 2024) ★</w:t>
            </w:r>
          </w:p>
        </w:tc>
        <w:tc>
          <w:tcPr>
            <w:tcW w:type="dxa" w:w="63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Gobernaciones y alcaldías +9,3 puntos (promedio 81,9): el mercado por fin listo para adoptar GovTech.</w:t>
            </w:r>
          </w:p>
        </w:tc>
      </w:tr>
      <w:tr>
        <w:trPr>
          <w:tblHeader w:val="false"/>
        </w:trPr>
        <w:tc>
          <w:tcPr>
            <w:tcW w:type="dxa" w:w="30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Datos abiertos ★</w:t>
            </w:r>
          </w:p>
        </w:tc>
        <w:tc>
          <w:tcPr>
            <w:tcW w:type="dxa" w:w="631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datos.gov.co, SECOP II, SGR y MDM alimentan el producto con datos oficiales reales, ya en vivo.</w:t>
            </w:r>
          </w:p>
        </w:tc>
      </w:tr>
      <w:tr>
        <w:trPr>
          <w:tblHeader w:val="false"/>
        </w:trPr>
        <w:tc>
          <w:tcPr>
            <w:tcW w:type="dxa" w:w="30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Interoperabilidad oficial</w:t>
            </w:r>
          </w:p>
        </w:tc>
        <w:tc>
          <w:tcPr>
            <w:tcW w:type="dxa" w:w="63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MGA Web, SUIFP y MapaInversiones: oportunidad de integración y, a la vez, dependencia de sus reglas.</w:t>
            </w:r>
          </w:p>
        </w:tc>
      </w:tr>
      <w:tr>
        <w:trPr>
          <w:tblHeader w:val="false"/>
        </w:trPr>
        <w:tc>
          <w:tcPr>
            <w:tcW w:type="dxa" w:w="30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Conectividad desigual</w:t>
            </w:r>
          </w:p>
        </w:tc>
        <w:tc>
          <w:tcPr>
            <w:tcW w:type="dxa" w:w="631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Infraestructura limitada en municipios pequeños: barrera real de adopción a contemplar en el onboarding.</w:t>
            </w:r>
          </w:p>
        </w:tc>
      </w:tr>
    </w:tbl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2E5496"/>
        </w:rPr>
        <w:t xml:space="preserve">E · Ecológico-ambiental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3050"/>
        <w:gridCol w:w="6310"/>
      </w:tblGrid>
      <w:tr>
        <w:trPr>
          <w:tblHeader/>
        </w:trPr>
        <w:tc>
          <w:tcPr>
            <w:tcW w:type="dxa" w:w="3050"/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Factor</w:t>
            </w:r>
          </w:p>
        </w:tc>
        <w:tc>
          <w:tcPr>
            <w:tcW w:type="dxa" w:w="6310"/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significa para PuBlitec</w:t>
            </w:r>
          </w:p>
        </w:tc>
      </w:tr>
      <w:tr>
        <w:trPr>
          <w:tblHeader w:val="false"/>
        </w:trPr>
        <w:tc>
          <w:tcPr>
            <w:tcW w:type="dxa" w:w="30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Proyectos con componente ambiental</w:t>
            </w:r>
          </w:p>
        </w:tc>
        <w:tc>
          <w:tcPr>
            <w:tcW w:type="dxa" w:w="631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APSB, vías terciarias, residuos: exigen licencias y permisos de las CAR (p. ej. CORNARE); el asistente ya reconoce esas distinciones.</w:t>
            </w:r>
          </w:p>
        </w:tc>
      </w:tr>
      <w:tr>
        <w:trPr>
          <w:tblHeader w:val="false"/>
        </w:trPr>
        <w:tc>
          <w:tcPr>
            <w:tcW w:type="dxa" w:w="30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Alineación con ODS y clima</w:t>
            </w:r>
          </w:p>
        </w:tc>
        <w:tc>
          <w:tcPr>
            <w:tcW w:type="dxa" w:w="63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Presión por priorizar proyectos de impacto ambiental; PuBlitec puede etiquetarlos como valor añadido.</w:t>
            </w:r>
          </w:p>
        </w:tc>
      </w:tr>
      <w:tr>
        <w:trPr>
          <w:tblHeader w:val="false"/>
        </w:trPr>
        <w:tc>
          <w:tcPr>
            <w:tcW w:type="dxa" w:w="30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Menor huella operativa</w:t>
            </w:r>
          </w:p>
        </w:tc>
        <w:tc>
          <w:tcPr>
            <w:tcW w:type="dxa" w:w="631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 formulación digital reduce papel y desplazamientos frente a la consultoría presencial.</w:t>
            </w:r>
          </w:p>
        </w:tc>
      </w:tr>
    </w:tbl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2E5496"/>
        </w:rPr>
        <w:t xml:space="preserve">L · Legal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3050"/>
        <w:gridCol w:w="6310"/>
      </w:tblGrid>
      <w:tr>
        <w:trPr>
          <w:tblHeader/>
        </w:trPr>
        <w:tc>
          <w:tcPr>
            <w:tcW w:type="dxa" w:w="3050"/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Factor</w:t>
            </w:r>
          </w:p>
        </w:tc>
        <w:tc>
          <w:tcPr>
            <w:tcW w:type="dxa" w:w="6310"/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significa para PuBlitec</w:t>
            </w:r>
          </w:p>
        </w:tc>
      </w:tr>
      <w:tr>
        <w:trPr>
          <w:tblHeader w:val="false"/>
        </w:trPr>
        <w:tc>
          <w:tcPr>
            <w:tcW w:type="dxa" w:w="30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Contratación pública y seguridad de datos</w:t>
            </w:r>
          </w:p>
        </w:tc>
        <w:tc>
          <w:tcPr>
            <w:tcW w:type="dxa" w:w="631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Vender al Estado exige aislamiento y trazabilidad; el RLS a nivel de base de datos es un requisito que pocos competidores cumplen.</w:t>
            </w:r>
          </w:p>
        </w:tc>
      </w:tr>
      <w:tr>
        <w:trPr>
          <w:tblHeader w:val="false"/>
        </w:trPr>
        <w:tc>
          <w:tcPr>
            <w:tcW w:type="dxa" w:w="30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Ley 358 / Ley 819 de endeudamiento</w:t>
            </w:r>
          </w:p>
        </w:tc>
        <w:tc>
          <w:tcPr>
            <w:tcW w:type="dxa" w:w="63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 ruta de crédito exige autorización del Concejo: sustenta el paso de formalización/firma pendiente en el producto.</w:t>
            </w:r>
          </w:p>
        </w:tc>
      </w:tr>
      <w:tr>
        <w:trPr>
          <w:tblHeader w:val="false"/>
        </w:trPr>
        <w:tc>
          <w:tcPr>
            <w:tcW w:type="dxa" w:w="30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IA responsable (en trámite)</w:t>
            </w:r>
          </w:p>
        </w:tc>
        <w:tc>
          <w:tcPr>
            <w:tcW w:type="dxa" w:w="631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 trazabilidad y el human-in-the-loop cumplen anticipadamente con los principios en discusión legislativa.</w:t>
            </w:r>
          </w:p>
        </w:tc>
      </w:tr>
      <w:tr>
        <w:trPr>
          <w:tblHeader w:val="false"/>
        </w:trPr>
        <w:tc>
          <w:tcPr>
            <w:tcW w:type="dxa" w:w="30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Propiedad intelectual</w:t>
            </w:r>
          </w:p>
        </w:tc>
        <w:tc>
          <w:tcPr>
            <w:tcW w:type="dxa" w:w="63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Titularidad EAFIT 100 % sobre software y corpus RAG (Ley 23/1982; Decisión Andina 351/1993).</w:t>
            </w:r>
          </w:p>
        </w:tc>
      </w:tr>
      <w:tr>
        <w:trPr>
          <w:tblHeader w:val="false"/>
        </w:trPr>
        <w:tc>
          <w:tcPr>
            <w:tcW w:type="dxa" w:w="30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Habeas data (Ley 1581/2012)</w:t>
            </w:r>
          </w:p>
        </w:tc>
        <w:tc>
          <w:tcPr>
            <w:tcW w:type="dxa" w:w="631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El manejo de datos municipales exige cumplimiento de protección de datos: condición de confianza.</w:t>
            </w:r>
          </w:p>
        </w:tc>
      </w:tr>
    </w:tbl>
    <w:tbl>
      <w:tblPr>
        <w:tblW w:type="pct" w:w="100%"/>
        <w:tblBorders>
          <w:top w:val="single" w:color="375623" w:sz="2"/>
          <w:left w:val="single" w:color="375623" w:sz="14"/>
          <w:bottom w:val="single" w:color="375623" w:sz="2"/>
          <w:right w:val="single" w:color="375623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2"/>
                <w:szCs w:val="22"/>
              </w:rPr>
              <w:t xml:space="preserve">Síntesis para el pitch</w:t>
            </w:r>
          </w:p>
          <w:p>
            <w:pPr>
              <w:spacing w:after="4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Cuatro fuerzas se abren al mismo tiempo: la reforma del SGP multiplica recursos y proyectos; la maduración digital deja al mercado listo; el ecosistema GovTech tiene capital y validadores; y no hay competidor consolidado en la vertical MGA con IA. Ventana defendible: 24 a 36 meses.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00" w:right="1300" w:bottom="115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PuBlitec · Fase 4 — Herramientas para el desarrollo de negocios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PuBlitec · Fase 4 — Herramientas para el desarrollo de negocios</dc:title>
  <dc:creator>Valor Público — EAFIT</dc:creator>
  <cp:lastModifiedBy>Un-named</cp:lastModifiedBy>
  <cp:revision>1</cp:revision>
  <dcterms:created xsi:type="dcterms:W3CDTF">2026-07-21T20:31:29.209Z</dcterms:created>
  <dcterms:modified xsi:type="dcterms:W3CDTF">2026-07-21T20:31:29.209Z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