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Análisis PESTEL — PuBlitec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Entorno Político, Económico, Social, Tecnológico, Ecológico-ambiental y Legal</w:t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Lab to Market EAFIT · Fase 4 — Herramientas para el desarrollo de negocios · Julio 2026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PESTEL mapea las fuerzas del entorno que habilitan o limitan a PuBlitec. Lo relevante para el equipo es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mayoría de los vectores juegan a favor y son simultáneos</w:t>
      </w:r>
      <w:r>
        <w:rPr>
          <w:rFonts w:ascii="Calibri" w:cs="Calibri" w:eastAsia="Calibri" w:hAnsi="Calibri"/>
          <w:sz w:val="22"/>
          <w:szCs w:val="22"/>
        </w:rPr>
        <w:t xml:space="preserve">, lo que sustenta el «por qué ahora» del pitch. Los factores marcados con </w:t>
      </w: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★</w:t>
      </w:r>
      <w:r>
        <w:rPr>
          <w:rFonts w:ascii="Calibri" w:cs="Calibri" w:eastAsia="Calibri" w:hAnsi="Calibri"/>
          <w:sz w:val="22"/>
          <w:szCs w:val="22"/>
        </w:rPr>
        <w:t xml:space="preserve"> son los que conviene llevar directamente a la presentación.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P · Político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Reforma del SGP (Acto Legislativo 03 de 2024)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 la participación territorial en los Ingresos Corrientes de la Nación del 20 % (2024) hacia el 39,5 %–46,5 % en 2034. Más recursos que formular, más proyectos MGA y más presión sobre su calidad técnica: crece la demanda del producto.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Política de Gobierno Digital (MinTIC, actualizada 2024)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Prioriza la transformación digital de las entidades territoriales. Es el marco de política pública que habilita y legitima una solución GovTech como PuBlitec.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Agenda de descentralización y autonomía territorial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fortalecimiento de la capacidad municipal es prioridad política nacional, alineada con la promesa de valor del producto.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Ciclo electoral (elecciones locales 2027)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primeros y últimos 12 meses de gobierno son ventanas de baja receptividad, y cada cambio de administración renueva los equipos técnicos. Condiciona el timing de adopción municipal.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Voluntad institucional de aliados públicos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Gobernación de Antioquia e IDEA como potenciales entidades convocantes: apalancan la entrada al mercado por el lado del pagador.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E · Económico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Tamaño de la inversión pública territorial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Más de $200 billones al año pasan por la MGA (SGR $30,9 B bienio · SGP $80,9 B · PGN inversión $99,3 B). Es el TAM y la escala de la oportunidad.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Restricción presupuestal de municipios cat. 5 y 6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 capacidad de gasto del usuario final. El modelo de fee de éxito del 1 % (el municipio no paga; se cobra a la entidad convocante solo si el proyecto se aprueba) convierte esta restricción en ventaja comercial.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Costo de la consultoría externa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 $8 y $40 millones por proyecto MGA formulado, que el municipio paga aun si no se aprueba. Es el costo del statu quo contra el que compite PuBlitec.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Ecosistema de capital GovTech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VC en LatAm de USD 4,1 mil millones (2025, +13,8 %); GovTech global con CAGR 15,8 %; tickets de BID Lab de USD 150 mil a 1 millón. Fuentes de financiación para el escalamiento.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Costo y disponibilidad de crédito territorial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Relevante para la línea de co-creación con Bancolombia: las tasas y la liquidez del crédito subnacional afectan el uso del IGM-B como señal de capacidad.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S · Social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Baja capacidad institucional municipal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87,9 % de los 1.104 municipios es categoría 6; formulan con equipos de tres personas y alta rotación. Es el dolor social que origina el producto.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Costo social de los proyectos no aprobados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Obras retrasadas, servicios no prestados y presión de la comunidad y el concejo sobre el alcalde. La aprobación exitosa tiene retorno social directo.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Brecha de talento técnico en municipios pequeños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Escasez de profesionales formados en MGA fuera de las capitales; la asistencia con IA suple parcialmente esa brecha.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Equidad territorial y riesgo de exclusión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IGM-B debe comunicarse como lenguaje de fortalecimiento de capacidades y nivel de acompañamiento, no como scoring que excluya del crédito a los más débiles (riesgo de redlining).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Aceptación cultural de la IA en lo público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Confianza y resistencia al cambio en funcionarios; se mitiga con el enfoque human-in-the-loop (la IA asiste, el humano decide).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T · Tecnológico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Maduración de IA generativa + RAG vertical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convergencia de LLMs con recuperación anclada a un corpus normativo curado es la frontera competitiva y el núcleo técnico de PuBlitec.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Maduración digital territorial (IGD MinTIC 2024)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Gobernaciones y alcaldías crecieron +9,3 puntos en un año (promedio 81,9): el mercado está por primera vez organizativamente listo para adoptar GovTech.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Disponibilidad de datos abiertos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datos.gov.co, SECOP II, Proyectos SGR y Medición de Desempeño Municipal alimentan el producto con datos oficiales reales (ya en vivo en la plataforma).</w:t>
            </w:r>
            <w:r>
              <w:rPr>
                <w:rFonts w:ascii="Calibri" w:cs="Calibri" w:eastAsia="Calibri" w:hAnsi="Calibri"/>
                <w:i/>
                <w:iCs/>
                <w:color w:val="C55A11"/>
                <w:sz w:val="17"/>
                <w:szCs w:val="17"/>
              </w:rPr>
              <w:t xml:space="preserve">  ★ alimenta el pitch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Interoperabilidad con plataformas oficiales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MGA Web, SUIFP y MapaInversiones del DNP: oportunidad de integración a mediano plazo y, a la vez, dependencia de sus reglas y cambios.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Conectividad y equipamiento desiguales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Infraestructura limitada en municipios pequeños: barrera real de adopción que hay que contemplar en el onboarding.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E · Ecológico-ambiental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Sectores de proyectos con componente ambiental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Agua potable y saneamiento básico, vías terciarias, gestión de residuos: exigen licencias y permisos de las CAR (p. ej. CORNARE). El asistente ya reconoce esas distinciones regulatorias.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Alineación con ODS y cambio climático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Presión por priorizar proyectos de impacto ambiental y climático; PuBlitec puede etiquetar y priorizar ese tipo de proyectos como valor añadido.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Menor huella operativa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formulación digital reduce papel y desplazamientos frente al modelo de consultoría presencial: un argumento de sostenibilidad menor pero real.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L · Legal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10"/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significa para PuBlitec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Contratación pública y seguridad de datos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Vender al Estado exige aislamiento y trazabilidad; el aislamiento multi-tenant por RLS a nivel de base de datos es un requisito implícito que la mayoría de competidores no cumple.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Ley 358 / Ley 819 de endeudamiento territorial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ruta de crédito exige autorización del Concejo y registro ante Minhacienda: sustenta la necesidad del paso de formalización/firma que hoy falta en el producto.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Régimen de IA responsable (en trámite)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trazabilidad completa de cada sugerencia y el principio human-in-the-loop cumplen anticipadamente con los principios de IA responsable en discusión legislativa.</w:t>
            </w:r>
          </w:p>
        </w:tc>
      </w:tr>
      <w:tr>
        <w:tc>
          <w:tcPr>
            <w:tcW w:type="dxa" w:w="305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Propiedad intelectual</w:t>
            </w:r>
          </w:p>
        </w:tc>
        <w:tc>
          <w:tcPr>
            <w:tcW w:type="dxa" w:w="631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Titularidad de EAFIT al 100 % sobre el software y el corpus RAG (Ley 23 de 1982; Decisión Andina 351 de 1993; Política de PI de EAFIT). Activo defendible.</w:t>
            </w:r>
          </w:p>
        </w:tc>
      </w:tr>
      <w:tr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Habeas data / protección de datos (Ley 1581 de 2012)</w:t>
            </w:r>
          </w:p>
        </w:tc>
        <w:tc>
          <w:tcPr>
            <w:tcW w:type="dxa" w:w="63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manejo de datos municipales e institucionales exige cumplimiento de protección de datos: condición de confianza para entidades convocantes.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Síntesis para el pitch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Cuatro fuerzas del entorno se abren al mismo tiempo y sostienen el «por qué ahora»: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la reforma del SGP multiplica los recursos y los proyectos a formular;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la maduración digital territorial deja al mercado listo para adoptar;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(3)</w:t>
      </w:r>
      <w:r>
        <w:rPr>
          <w:rFonts w:ascii="Calibri" w:cs="Calibri" w:eastAsia="Calibri" w:hAnsi="Calibri"/>
          <w:sz w:val="22"/>
          <w:szCs w:val="22"/>
        </w:rPr>
        <w:t xml:space="preserve"> el ecosistema GovTech regional tiene capital y validadores activos;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(4)</w:t>
      </w:r>
      <w:r>
        <w:rPr>
          <w:rFonts w:ascii="Calibri" w:cs="Calibri" w:eastAsia="Calibri" w:hAnsi="Calibri"/>
          <w:sz w:val="22"/>
          <w:szCs w:val="22"/>
        </w:rPr>
        <w:t xml:space="preserve"> no hay un competidor consolidado en la vertical MGA con IA. La ventana defendible se estima en 24 a 36 meses. Los riesgos del entorno —ciclo electoral, conectividad desigual, sensibilidad regulatoria de la IA y del crédito— son manejables y varios ya están contemplados en el diseño del producto (human-in-the-loop, RLS, trazabilidad).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Nota.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El Business Model Canvas de la Fase 4 queda cubierto por el Lean Canvas ya incorporado en el Anexo 02; con este PESTEL, la Fase 4 (Herramientas para el desarrollo de negocios) queda completa.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PuBlitec · Análisis PESTEL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PESTEL PuBlitec</dc:title>
  <dc:creator>Valor Público — EAFIT</dc:creator>
  <cp:lastModifiedBy>Un-named</cp:lastModifiedBy>
  <cp:revision>1</cp:revision>
  <dcterms:created xsi:type="dcterms:W3CDTF">2026-07-21T16:02:10.100Z</dcterms:created>
  <dcterms:modified xsi:type="dcterms:W3CDTF">2026-07-21T16:02:10.112Z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