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419A1" w14:textId="6EB346FD" w:rsidR="00D35073" w:rsidRDefault="0079459C" w:rsidP="0076714B">
      <w:pPr>
        <w:pBdr>
          <w:bottom w:val="single" w:sz="4" w:space="1" w:color="auto"/>
        </w:pBdr>
        <w:jc w:val="center"/>
        <w:rPr>
          <w:rFonts w:ascii="Calibri" w:hAnsi="Calibri" w:cs="Calibri"/>
          <w:sz w:val="48"/>
          <w:szCs w:val="48"/>
        </w:rPr>
      </w:pPr>
      <w:r w:rsidRPr="0079459C">
        <w:rPr>
          <w:rFonts w:ascii="Calibri" w:hAnsi="Calibri" w:cs="Calibri"/>
          <w:sz w:val="48"/>
          <w:szCs w:val="48"/>
        </w:rPr>
        <w:t>The Necessity for Nutrition</w:t>
      </w:r>
    </w:p>
    <w:p w14:paraId="109C2E31" w14:textId="2693D631" w:rsidR="0076714B" w:rsidRPr="00BE3267" w:rsidRDefault="002C6F7E" w:rsidP="002C6F7E">
      <w:pPr>
        <w:spacing w:after="0" w:line="240" w:lineRule="auto"/>
        <w:rPr>
          <w:rFonts w:ascii="Calibri" w:hAnsi="Calibri" w:cs="Calibri"/>
        </w:rPr>
      </w:pPr>
      <w:r>
        <w:rPr>
          <w:rFonts w:ascii="Calibri" w:hAnsi="Calibri" w:cs="Calibri"/>
          <w:b/>
          <w:bCs/>
        </w:rPr>
        <w:t>Anthony Ostia</w:t>
      </w:r>
      <w:r w:rsidR="00BE3267">
        <w:rPr>
          <w:rFonts w:ascii="Calibri" w:hAnsi="Calibri" w:cs="Calibri"/>
          <w:b/>
          <w:bCs/>
        </w:rPr>
        <w:tab/>
      </w:r>
      <w:r w:rsidR="00BE3267">
        <w:rPr>
          <w:rFonts w:ascii="Calibri" w:hAnsi="Calibri" w:cs="Calibri"/>
          <w:b/>
          <w:bCs/>
        </w:rPr>
        <w:tab/>
      </w:r>
      <w:r w:rsidR="00BE3267">
        <w:rPr>
          <w:rFonts w:ascii="Calibri" w:hAnsi="Calibri" w:cs="Calibri"/>
          <w:b/>
          <w:bCs/>
        </w:rPr>
        <w:tab/>
      </w:r>
      <w:r w:rsidR="00BE3267">
        <w:rPr>
          <w:rFonts w:ascii="Calibri" w:hAnsi="Calibri" w:cs="Calibri"/>
          <w:b/>
          <w:bCs/>
        </w:rPr>
        <w:tab/>
      </w:r>
      <w:r w:rsidR="00BE3267">
        <w:rPr>
          <w:rFonts w:ascii="Calibri" w:hAnsi="Calibri" w:cs="Calibri"/>
          <w:b/>
          <w:bCs/>
        </w:rPr>
        <w:tab/>
      </w:r>
      <w:r w:rsidR="00BE3267">
        <w:rPr>
          <w:rFonts w:ascii="Calibri" w:hAnsi="Calibri" w:cs="Calibri"/>
          <w:b/>
          <w:bCs/>
        </w:rPr>
        <w:tab/>
      </w:r>
      <w:r w:rsidR="00BE3267">
        <w:rPr>
          <w:rFonts w:ascii="Calibri" w:hAnsi="Calibri" w:cs="Calibri"/>
          <w:b/>
          <w:bCs/>
        </w:rPr>
        <w:tab/>
      </w:r>
      <w:r w:rsidR="00BE3267">
        <w:rPr>
          <w:rFonts w:ascii="Calibri" w:hAnsi="Calibri" w:cs="Calibri"/>
          <w:b/>
          <w:bCs/>
        </w:rPr>
        <w:tab/>
      </w:r>
      <w:r w:rsidR="00BE3267">
        <w:rPr>
          <w:rFonts w:ascii="Calibri" w:hAnsi="Calibri" w:cs="Calibri"/>
          <w:b/>
          <w:bCs/>
        </w:rPr>
        <w:tab/>
      </w:r>
      <w:r w:rsidR="00BE3267">
        <w:rPr>
          <w:rFonts w:ascii="Calibri" w:hAnsi="Calibri" w:cs="Calibri"/>
          <w:b/>
          <w:bCs/>
        </w:rPr>
        <w:tab/>
      </w:r>
      <w:r w:rsidR="00BE3267">
        <w:rPr>
          <w:rFonts w:ascii="Calibri" w:hAnsi="Calibri" w:cs="Calibri"/>
          <w:b/>
          <w:bCs/>
        </w:rPr>
        <w:tab/>
      </w:r>
      <w:r w:rsidR="00BE3267">
        <w:rPr>
          <w:rFonts w:ascii="Calibri" w:hAnsi="Calibri" w:cs="Calibri"/>
          <w:b/>
          <w:bCs/>
        </w:rPr>
        <w:tab/>
        <w:t xml:space="preserve">          </w:t>
      </w:r>
      <w:r w:rsidR="00BE3267" w:rsidRPr="00BE3267">
        <w:rPr>
          <w:rFonts w:ascii="Calibri" w:hAnsi="Calibri" w:cs="Calibri"/>
          <w:b/>
          <w:bCs/>
        </w:rPr>
        <w:t>aostia@msn.com</w:t>
      </w:r>
    </w:p>
    <w:p w14:paraId="00E9D711" w14:textId="68392FD7" w:rsidR="002C6F7E" w:rsidRDefault="002C6F7E" w:rsidP="002C6F7E">
      <w:pPr>
        <w:spacing w:after="0" w:line="240" w:lineRule="auto"/>
        <w:rPr>
          <w:rFonts w:ascii="Calibri" w:hAnsi="Calibri" w:cs="Calibri"/>
        </w:rPr>
      </w:pPr>
      <w:r w:rsidRPr="002C6F7E">
        <w:rPr>
          <w:rFonts w:ascii="Calibri" w:hAnsi="Calibri" w:cs="Calibri"/>
        </w:rPr>
        <w:t>UC San Diego</w:t>
      </w:r>
    </w:p>
    <w:p w14:paraId="1904AFA9" w14:textId="569B803F" w:rsidR="002C6F7E" w:rsidRPr="002C6F7E" w:rsidRDefault="00BE3267" w:rsidP="002C6F7E">
      <w:pPr>
        <w:spacing w:after="0" w:line="240" w:lineRule="auto"/>
        <w:rPr>
          <w:rFonts w:ascii="Calibri" w:hAnsi="Calibri" w:cs="Calibri"/>
        </w:rPr>
      </w:pPr>
      <w:r>
        <w:rPr>
          <w:rFonts w:ascii="Calibri" w:hAnsi="Calibri" w:cs="Calibri"/>
        </w:rPr>
        <w:t>La Jolla, CA</w:t>
      </w:r>
    </w:p>
    <w:p w14:paraId="1691A737" w14:textId="77777777" w:rsidR="0076714B" w:rsidRDefault="0076714B" w:rsidP="00A905CB">
      <w:pPr>
        <w:jc w:val="center"/>
        <w:rPr>
          <w:rFonts w:ascii="Calibri" w:hAnsi="Calibri" w:cs="Calibri"/>
          <w:b/>
          <w:bCs/>
          <w:sz w:val="32"/>
          <w:szCs w:val="32"/>
        </w:rPr>
      </w:pPr>
    </w:p>
    <w:p w14:paraId="49E5C9C5" w14:textId="52A4C7CB" w:rsidR="0079459C" w:rsidRPr="0079459C" w:rsidRDefault="0079459C" w:rsidP="00A905CB">
      <w:pPr>
        <w:jc w:val="center"/>
        <w:rPr>
          <w:rFonts w:ascii="Calibri" w:hAnsi="Calibri" w:cs="Calibri"/>
          <w:b/>
          <w:bCs/>
          <w:sz w:val="32"/>
          <w:szCs w:val="32"/>
        </w:rPr>
      </w:pPr>
      <w:r w:rsidRPr="0079459C">
        <w:rPr>
          <w:rFonts w:ascii="Calibri" w:hAnsi="Calibri" w:cs="Calibri"/>
          <w:b/>
          <w:bCs/>
          <w:sz w:val="32"/>
          <w:szCs w:val="32"/>
        </w:rPr>
        <w:t>Abstract</w:t>
      </w:r>
    </w:p>
    <w:p w14:paraId="0F7A5E6A" w14:textId="7062D215" w:rsidR="0079459C" w:rsidRDefault="0079459C" w:rsidP="00A905CB">
      <w:pPr>
        <w:jc w:val="center"/>
        <w:rPr>
          <w:rFonts w:ascii="Calibri" w:hAnsi="Calibri" w:cs="Calibri"/>
        </w:rPr>
      </w:pPr>
      <w:r w:rsidRPr="0079459C">
        <w:rPr>
          <w:rFonts w:ascii="Calibri" w:hAnsi="Calibri" w:cs="Calibri"/>
        </w:rPr>
        <w:t xml:space="preserve">Consumers often prioritize visual appeal and convenience over nutritional quality when selecting foods. This study asks whether popularity correlates with poorer nutrition by </w:t>
      </w:r>
      <w:r w:rsidRPr="0079459C">
        <w:rPr>
          <w:rFonts w:ascii="Calibri" w:hAnsi="Calibri" w:cs="Calibri"/>
        </w:rPr>
        <w:t>analyzing</w:t>
      </w:r>
      <w:r w:rsidRPr="0079459C">
        <w:rPr>
          <w:rFonts w:ascii="Calibri" w:hAnsi="Calibri" w:cs="Calibri"/>
        </w:rPr>
        <w:t xml:space="preserve"> three public datasets—breakfast cereals, McDonald’s menu items, and Starbucks beverages. Each dataset is modelled with logistic regression, support-vector machines, and decision trees under two train–test splits (80 %/20 % and 20 %/80 %). Comparative test-error rates quantify the influence of classifier choice and training-set size on predictive performance. Decision trees deliver the lowest generalization error, and popular items consistently exhibit higher amounts of sugar or fat than their less-advertised counterparts. These findings highlight systematic nutrient imbalances in high-visibility products and underscore the importance of transparent nutrition information in guiding healthier consumer choices.</w:t>
      </w:r>
    </w:p>
    <w:p w14:paraId="65ED048F" w14:textId="77777777" w:rsidR="00EF00D2" w:rsidRDefault="00EF00D2" w:rsidP="00EF00D2">
      <w:pPr>
        <w:rPr>
          <w:rFonts w:ascii="Calibri" w:hAnsi="Calibri" w:cs="Calibri"/>
          <w:b/>
          <w:bCs/>
          <w:sz w:val="32"/>
          <w:szCs w:val="32"/>
        </w:rPr>
      </w:pPr>
    </w:p>
    <w:p w14:paraId="06701397" w14:textId="4E6A7A92" w:rsidR="0079459C" w:rsidRPr="00EF00D2" w:rsidRDefault="00EF00D2" w:rsidP="00EF00D2">
      <w:pPr>
        <w:rPr>
          <w:rFonts w:ascii="Calibri" w:hAnsi="Calibri" w:cs="Calibri"/>
          <w:b/>
          <w:bCs/>
          <w:sz w:val="32"/>
          <w:szCs w:val="32"/>
        </w:rPr>
      </w:pPr>
      <w:r w:rsidRPr="00EF00D2">
        <w:rPr>
          <w:rFonts w:ascii="Calibri" w:hAnsi="Calibri" w:cs="Calibri"/>
          <w:b/>
          <w:bCs/>
          <w:sz w:val="32"/>
          <w:szCs w:val="32"/>
        </w:rPr>
        <w:t>1.</w:t>
      </w:r>
      <w:r>
        <w:rPr>
          <w:rFonts w:ascii="Calibri" w:hAnsi="Calibri" w:cs="Calibri"/>
          <w:b/>
          <w:bCs/>
          <w:sz w:val="32"/>
          <w:szCs w:val="32"/>
        </w:rPr>
        <w:t xml:space="preserve"> </w:t>
      </w:r>
      <w:r w:rsidR="0079459C" w:rsidRPr="00EF00D2">
        <w:rPr>
          <w:rFonts w:ascii="Calibri" w:hAnsi="Calibri" w:cs="Calibri"/>
          <w:b/>
          <w:bCs/>
          <w:sz w:val="32"/>
          <w:szCs w:val="32"/>
        </w:rPr>
        <w:t>Introduction</w:t>
      </w:r>
    </w:p>
    <w:p w14:paraId="14AC31E5" w14:textId="77777777" w:rsidR="0079459C" w:rsidRPr="0079459C" w:rsidRDefault="0079459C" w:rsidP="0079459C">
      <w:pPr>
        <w:rPr>
          <w:rFonts w:ascii="Calibri" w:hAnsi="Calibri" w:cs="Calibri"/>
        </w:rPr>
      </w:pPr>
      <w:r w:rsidRPr="0079459C">
        <w:rPr>
          <w:rFonts w:ascii="Calibri" w:hAnsi="Calibri" w:cs="Calibri"/>
        </w:rPr>
        <w:t xml:space="preserve">Nutrition science consistently shows that habitual excesses of added sugar, saturated fat, and calories elevate the risk of obesity and cardiometabolic disease. Yet time-pressed consumers frequently choose foods for speed and marketing appeal rather than nutrient content—a pattern reinforced by the ubiquity of quick-service restaurants and pre-packaged meals. High-profile products from brands such as Kellogg’s, McDonald’s, and Starbucks dominate advertising budgets and shelf space, but the extent to which their nutritional profiles differ from less-promoted alternatives remains under-examined. </w:t>
      </w:r>
    </w:p>
    <w:p w14:paraId="42C86285" w14:textId="53350B0B" w:rsidR="00AC5AF7" w:rsidRDefault="0079459C" w:rsidP="00AC5AF7">
      <w:pPr>
        <w:rPr>
          <w:rFonts w:ascii="Calibri" w:hAnsi="Calibri" w:cs="Calibri"/>
        </w:rPr>
      </w:pPr>
      <w:r w:rsidRPr="0079459C">
        <w:rPr>
          <w:rFonts w:ascii="Calibri" w:hAnsi="Calibri" w:cs="Calibri"/>
        </w:rPr>
        <w:t xml:space="preserve">This paper investigates whether popularity is a reliable proxy for inferior nutrition. We formulate binary classification tasks on three open datasets: (i) top-selling versus other breakfast cereals, (ii) McDonald’s lunch versus breakfast entrées, and (iii) Starbucks espresso-based versus drip beverages. Logistic regression, support-vector machines, and decision trees are trained under two cross-validation regimes (80 %/20 % and 20 %/80 % train–test splits). By comparing test errors and </w:t>
      </w:r>
      <w:r w:rsidR="006F7AD4" w:rsidRPr="0079459C">
        <w:rPr>
          <w:rFonts w:ascii="Calibri" w:hAnsi="Calibri" w:cs="Calibri"/>
        </w:rPr>
        <w:t>analyzing</w:t>
      </w:r>
      <w:r w:rsidRPr="0079459C">
        <w:rPr>
          <w:rFonts w:ascii="Calibri" w:hAnsi="Calibri" w:cs="Calibri"/>
        </w:rPr>
        <w:t xml:space="preserve"> feature importances, we quantify nutrient patterns that distinguish high-visibility foods and assess how classifier complexity influences generalization.</w:t>
      </w:r>
    </w:p>
    <w:p w14:paraId="4C42E48E" w14:textId="77777777" w:rsidR="00AC5AF7" w:rsidRDefault="00AC5AF7" w:rsidP="00AC5AF7">
      <w:pPr>
        <w:rPr>
          <w:rFonts w:ascii="Calibri" w:hAnsi="Calibri" w:cs="Calibri"/>
        </w:rPr>
      </w:pPr>
    </w:p>
    <w:p w14:paraId="68672F91" w14:textId="24706F11" w:rsidR="00AC5AF7" w:rsidRPr="00AC5AF7" w:rsidRDefault="00AC5AF7" w:rsidP="00AC5AF7">
      <w:pPr>
        <w:rPr>
          <w:rFonts w:ascii="Calibri" w:hAnsi="Calibri" w:cs="Calibri"/>
          <w:b/>
          <w:bCs/>
          <w:sz w:val="32"/>
          <w:szCs w:val="32"/>
        </w:rPr>
      </w:pPr>
      <w:r w:rsidRPr="00AC5AF7">
        <w:rPr>
          <w:rFonts w:ascii="Calibri" w:hAnsi="Calibri" w:cs="Calibri"/>
          <w:b/>
          <w:bCs/>
          <w:sz w:val="32"/>
          <w:szCs w:val="32"/>
        </w:rPr>
        <w:t xml:space="preserve">2. </w:t>
      </w:r>
      <w:r w:rsidR="00EF00D2">
        <w:rPr>
          <w:rFonts w:ascii="Calibri" w:hAnsi="Calibri" w:cs="Calibri"/>
          <w:b/>
          <w:bCs/>
          <w:sz w:val="32"/>
          <w:szCs w:val="32"/>
        </w:rPr>
        <w:t>Methods</w:t>
      </w:r>
    </w:p>
    <w:p w14:paraId="538B0258" w14:textId="4B359039" w:rsidR="007A454E" w:rsidRPr="007A454E" w:rsidRDefault="007A454E" w:rsidP="007A454E">
      <w:pPr>
        <w:rPr>
          <w:rFonts w:ascii="Calibri" w:hAnsi="Calibri" w:cs="Calibri"/>
          <w:b/>
          <w:bCs/>
        </w:rPr>
      </w:pPr>
      <w:r w:rsidRPr="007A454E">
        <w:rPr>
          <w:rFonts w:ascii="Calibri" w:hAnsi="Calibri" w:cs="Calibri"/>
          <w:b/>
          <w:bCs/>
        </w:rPr>
        <w:t>2.1 Datasets</w:t>
      </w:r>
    </w:p>
    <w:p w14:paraId="16E5C6A8" w14:textId="77777777" w:rsidR="007A454E" w:rsidRPr="007A454E" w:rsidRDefault="007A454E" w:rsidP="007A454E">
      <w:pPr>
        <w:numPr>
          <w:ilvl w:val="0"/>
          <w:numId w:val="2"/>
        </w:numPr>
        <w:rPr>
          <w:rFonts w:ascii="Calibri" w:hAnsi="Calibri" w:cs="Calibri"/>
        </w:rPr>
      </w:pPr>
      <w:r w:rsidRPr="007A454E">
        <w:rPr>
          <w:rFonts w:ascii="Calibri" w:hAnsi="Calibri" w:cs="Calibri"/>
          <w:b/>
          <w:bCs/>
        </w:rPr>
        <w:t>Breakfast cereals</w:t>
      </w:r>
      <w:r w:rsidRPr="007A454E">
        <w:rPr>
          <w:rFonts w:ascii="Calibri" w:hAnsi="Calibri" w:cs="Calibri"/>
        </w:rPr>
        <w:t xml:space="preserve"> – 77 products with nutrient values provided in integers (e.g., calories, sugar).</w:t>
      </w:r>
    </w:p>
    <w:p w14:paraId="0802E8F6" w14:textId="77777777" w:rsidR="007A454E" w:rsidRPr="007A454E" w:rsidRDefault="007A454E" w:rsidP="007A454E">
      <w:pPr>
        <w:numPr>
          <w:ilvl w:val="0"/>
          <w:numId w:val="2"/>
        </w:numPr>
        <w:rPr>
          <w:rFonts w:ascii="Calibri" w:hAnsi="Calibri" w:cs="Calibri"/>
        </w:rPr>
      </w:pPr>
      <w:r w:rsidRPr="007A454E">
        <w:rPr>
          <w:rFonts w:ascii="Calibri" w:hAnsi="Calibri" w:cs="Calibri"/>
          <w:b/>
          <w:bCs/>
        </w:rPr>
        <w:t>McDonald’s menu</w:t>
      </w:r>
      <w:r w:rsidRPr="007A454E">
        <w:rPr>
          <w:rFonts w:ascii="Calibri" w:hAnsi="Calibri" w:cs="Calibri"/>
        </w:rPr>
        <w:t xml:space="preserve"> – Entrées from the official nutrition PDF released on Kaggle.</w:t>
      </w:r>
    </w:p>
    <w:p w14:paraId="72AFD53E" w14:textId="77777777" w:rsidR="007A454E" w:rsidRPr="007A454E" w:rsidRDefault="007A454E" w:rsidP="007A454E">
      <w:pPr>
        <w:numPr>
          <w:ilvl w:val="0"/>
          <w:numId w:val="2"/>
        </w:numPr>
        <w:rPr>
          <w:rFonts w:ascii="Calibri" w:hAnsi="Calibri" w:cs="Calibri"/>
        </w:rPr>
      </w:pPr>
      <w:r w:rsidRPr="007A454E">
        <w:rPr>
          <w:rFonts w:ascii="Calibri" w:hAnsi="Calibri" w:cs="Calibri"/>
          <w:b/>
          <w:bCs/>
        </w:rPr>
        <w:t>Starbucks beverages</w:t>
      </w:r>
      <w:r w:rsidRPr="007A454E">
        <w:rPr>
          <w:rFonts w:ascii="Calibri" w:hAnsi="Calibri" w:cs="Calibri"/>
        </w:rPr>
        <w:t xml:space="preserve"> – Full drink lineup extracted from Starbucks’ public nutrition brochure. </w:t>
      </w:r>
    </w:p>
    <w:p w14:paraId="5E94AE59" w14:textId="77777777" w:rsidR="007A454E" w:rsidRPr="007A454E" w:rsidRDefault="007A454E" w:rsidP="007A454E">
      <w:pPr>
        <w:rPr>
          <w:rFonts w:ascii="Calibri" w:hAnsi="Calibri" w:cs="Calibri"/>
          <w:b/>
          <w:bCs/>
        </w:rPr>
      </w:pPr>
      <w:r w:rsidRPr="007A454E">
        <w:rPr>
          <w:rFonts w:ascii="Calibri" w:hAnsi="Calibri" w:cs="Calibri"/>
          <w:b/>
          <w:bCs/>
        </w:rPr>
        <w:t>2.2 Class Definition</w:t>
      </w:r>
    </w:p>
    <w:p w14:paraId="08F16BDF" w14:textId="0B6BD514" w:rsidR="007A454E" w:rsidRPr="007A454E" w:rsidRDefault="007A454E" w:rsidP="007A454E">
      <w:pPr>
        <w:rPr>
          <w:rFonts w:ascii="Calibri" w:hAnsi="Calibri" w:cs="Calibri"/>
        </w:rPr>
      </w:pPr>
      <w:r w:rsidRPr="007A454E">
        <w:rPr>
          <w:rFonts w:ascii="Calibri" w:hAnsi="Calibri" w:cs="Calibri"/>
        </w:rPr>
        <w:lastRenderedPageBreak/>
        <w:t xml:space="preserve">To examine whether </w:t>
      </w:r>
      <w:r w:rsidRPr="007A454E">
        <w:rPr>
          <w:rFonts w:ascii="Calibri" w:hAnsi="Calibri" w:cs="Calibri"/>
          <w:i/>
          <w:iCs/>
        </w:rPr>
        <w:t>visibility</w:t>
      </w:r>
      <w:r w:rsidRPr="007A454E">
        <w:rPr>
          <w:rFonts w:ascii="Calibri" w:hAnsi="Calibri" w:cs="Calibri"/>
        </w:rPr>
        <w:t xml:space="preserve"> aligns with poorer nutrition, each dataset was </w:t>
      </w:r>
      <w:r w:rsidR="005D48B6" w:rsidRPr="007A454E">
        <w:rPr>
          <w:rFonts w:ascii="Calibri" w:hAnsi="Calibri" w:cs="Calibri"/>
        </w:rPr>
        <w:t>binarized</w:t>
      </w:r>
      <w:r w:rsidRPr="007A454E">
        <w:rPr>
          <w:rFonts w:ascii="Calibri" w:hAnsi="Calibri" w:cs="Calibri"/>
        </w:rPr>
        <w:t>:</w:t>
      </w:r>
    </w:p>
    <w:p w14:paraId="30C3EDD4" w14:textId="77777777" w:rsidR="007A454E" w:rsidRPr="007A454E" w:rsidRDefault="007A454E" w:rsidP="007A454E">
      <w:pPr>
        <w:numPr>
          <w:ilvl w:val="0"/>
          <w:numId w:val="3"/>
        </w:numPr>
        <w:rPr>
          <w:rFonts w:ascii="Calibri" w:hAnsi="Calibri" w:cs="Calibri"/>
        </w:rPr>
      </w:pPr>
      <w:r w:rsidRPr="007A454E">
        <w:rPr>
          <w:rFonts w:ascii="Calibri" w:hAnsi="Calibri" w:cs="Calibri"/>
          <w:b/>
          <w:bCs/>
        </w:rPr>
        <w:t>Cereals:</w:t>
      </w:r>
      <w:r w:rsidRPr="007A454E">
        <w:rPr>
          <w:rFonts w:ascii="Calibri" w:hAnsi="Calibri" w:cs="Calibri"/>
        </w:rPr>
        <w:t xml:space="preserve"> two top-selling brands (Class A) vs. all other brands (Class B).</w:t>
      </w:r>
    </w:p>
    <w:p w14:paraId="6787B11C" w14:textId="77777777" w:rsidR="007A454E" w:rsidRPr="007A454E" w:rsidRDefault="007A454E" w:rsidP="007A454E">
      <w:pPr>
        <w:numPr>
          <w:ilvl w:val="0"/>
          <w:numId w:val="3"/>
        </w:numPr>
        <w:rPr>
          <w:rFonts w:ascii="Calibri" w:hAnsi="Calibri" w:cs="Calibri"/>
        </w:rPr>
      </w:pPr>
      <w:r w:rsidRPr="007A454E">
        <w:rPr>
          <w:rFonts w:ascii="Calibri" w:hAnsi="Calibri" w:cs="Calibri"/>
          <w:b/>
          <w:bCs/>
        </w:rPr>
        <w:t>McDonald’s:</w:t>
      </w:r>
      <w:r w:rsidRPr="007A454E">
        <w:rPr>
          <w:rFonts w:ascii="Calibri" w:hAnsi="Calibri" w:cs="Calibri"/>
        </w:rPr>
        <w:t xml:space="preserve"> lunch items (A) vs. breakfast items (B).</w:t>
      </w:r>
    </w:p>
    <w:p w14:paraId="5BA269DE" w14:textId="6F927A99" w:rsidR="007A454E" w:rsidRPr="007A454E" w:rsidRDefault="007A454E" w:rsidP="007A454E">
      <w:pPr>
        <w:numPr>
          <w:ilvl w:val="0"/>
          <w:numId w:val="3"/>
        </w:numPr>
        <w:rPr>
          <w:rFonts w:ascii="Calibri" w:hAnsi="Calibri" w:cs="Calibri"/>
        </w:rPr>
      </w:pPr>
      <w:r w:rsidRPr="007A454E">
        <w:rPr>
          <w:rFonts w:ascii="Calibri" w:hAnsi="Calibri" w:cs="Calibri"/>
          <w:b/>
          <w:bCs/>
        </w:rPr>
        <w:t>Starbucks:</w:t>
      </w:r>
      <w:r w:rsidRPr="007A454E">
        <w:rPr>
          <w:rFonts w:ascii="Calibri" w:hAnsi="Calibri" w:cs="Calibri"/>
        </w:rPr>
        <w:t xml:space="preserve"> espresso-based drinks (A) vs. </w:t>
      </w:r>
      <w:r w:rsidR="005D48B6" w:rsidRPr="007A454E">
        <w:rPr>
          <w:rFonts w:ascii="Calibri" w:hAnsi="Calibri" w:cs="Calibri"/>
        </w:rPr>
        <w:t>brewed coffee</w:t>
      </w:r>
      <w:r w:rsidRPr="007A454E">
        <w:rPr>
          <w:rFonts w:ascii="Calibri" w:hAnsi="Calibri" w:cs="Calibri"/>
        </w:rPr>
        <w:t xml:space="preserve"> drinks (B). </w:t>
      </w:r>
    </w:p>
    <w:p w14:paraId="00C45CAB" w14:textId="77777777" w:rsidR="007A454E" w:rsidRPr="007A454E" w:rsidRDefault="007A454E" w:rsidP="007A454E">
      <w:pPr>
        <w:rPr>
          <w:rFonts w:ascii="Calibri" w:hAnsi="Calibri" w:cs="Calibri"/>
          <w:b/>
          <w:bCs/>
        </w:rPr>
      </w:pPr>
      <w:r w:rsidRPr="007A454E">
        <w:rPr>
          <w:rFonts w:ascii="Calibri" w:hAnsi="Calibri" w:cs="Calibri"/>
          <w:b/>
          <w:bCs/>
        </w:rPr>
        <w:t>2.3 Feature Selection</w:t>
      </w:r>
    </w:p>
    <w:p w14:paraId="0823B8A2" w14:textId="77777777" w:rsidR="007A454E" w:rsidRPr="007A454E" w:rsidRDefault="007A454E" w:rsidP="007A454E">
      <w:pPr>
        <w:numPr>
          <w:ilvl w:val="0"/>
          <w:numId w:val="4"/>
        </w:numPr>
        <w:rPr>
          <w:rFonts w:ascii="Calibri" w:hAnsi="Calibri" w:cs="Calibri"/>
        </w:rPr>
      </w:pPr>
      <w:r w:rsidRPr="007A454E">
        <w:rPr>
          <w:rFonts w:ascii="Calibri" w:hAnsi="Calibri" w:cs="Calibri"/>
          <w:b/>
          <w:bCs/>
        </w:rPr>
        <w:t>Cereals &amp; Starbucks</w:t>
      </w:r>
      <w:r w:rsidRPr="007A454E">
        <w:rPr>
          <w:rFonts w:ascii="Calibri" w:hAnsi="Calibri" w:cs="Calibri"/>
        </w:rPr>
        <w:t xml:space="preserve"> – calories (kcal) and sugar (g) capture the main consumer health concerns.</w:t>
      </w:r>
    </w:p>
    <w:p w14:paraId="5D6ECE48" w14:textId="77777777" w:rsidR="007A454E" w:rsidRPr="007A454E" w:rsidRDefault="007A454E" w:rsidP="007A454E">
      <w:pPr>
        <w:numPr>
          <w:ilvl w:val="0"/>
          <w:numId w:val="4"/>
        </w:numPr>
        <w:rPr>
          <w:rFonts w:ascii="Calibri" w:hAnsi="Calibri" w:cs="Calibri"/>
        </w:rPr>
      </w:pPr>
      <w:r w:rsidRPr="007A454E">
        <w:rPr>
          <w:rFonts w:ascii="Calibri" w:hAnsi="Calibri" w:cs="Calibri"/>
          <w:b/>
          <w:bCs/>
        </w:rPr>
        <w:t>McDonald’s</w:t>
      </w:r>
      <w:r w:rsidRPr="007A454E">
        <w:rPr>
          <w:rFonts w:ascii="Calibri" w:hAnsi="Calibri" w:cs="Calibri"/>
        </w:rPr>
        <w:t xml:space="preserve"> – calories (kcal) and total fat (g) reflect the menu’s dominant macronutrient risk.</w:t>
      </w:r>
      <w:r w:rsidRPr="007A454E">
        <w:rPr>
          <w:rFonts w:ascii="Calibri" w:hAnsi="Calibri" w:cs="Calibri"/>
        </w:rPr>
        <w:br/>
        <w:t xml:space="preserve">No imputation was required because all datasets contained complete numeric entries. </w:t>
      </w:r>
    </w:p>
    <w:p w14:paraId="7EEC84AB" w14:textId="77777777" w:rsidR="007A454E" w:rsidRPr="007A454E" w:rsidRDefault="007A454E" w:rsidP="007A454E">
      <w:pPr>
        <w:rPr>
          <w:rFonts w:ascii="Calibri" w:hAnsi="Calibri" w:cs="Calibri"/>
          <w:b/>
          <w:bCs/>
        </w:rPr>
      </w:pPr>
      <w:r w:rsidRPr="007A454E">
        <w:rPr>
          <w:rFonts w:ascii="Calibri" w:hAnsi="Calibri" w:cs="Calibri"/>
          <w:b/>
          <w:bCs/>
        </w:rPr>
        <w:t>2.4 Experimental Partitions</w:t>
      </w:r>
    </w:p>
    <w:p w14:paraId="52AA9AD7" w14:textId="77777777" w:rsidR="007A454E" w:rsidRPr="007A454E" w:rsidRDefault="007A454E" w:rsidP="007A454E">
      <w:pPr>
        <w:rPr>
          <w:rFonts w:ascii="Calibri" w:hAnsi="Calibri" w:cs="Calibri"/>
        </w:rPr>
      </w:pPr>
      <w:r w:rsidRPr="007A454E">
        <w:rPr>
          <w:rFonts w:ascii="Calibri" w:hAnsi="Calibri" w:cs="Calibri"/>
        </w:rPr>
        <w:t>Two hold-out splits test sensitivity to training-set size: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1"/>
        <w:gridCol w:w="1132"/>
      </w:tblGrid>
      <w:tr w:rsidR="007A454E" w:rsidRPr="007A454E" w14:paraId="57480ECB" w14:textId="77777777" w:rsidTr="007A454E">
        <w:trPr>
          <w:tblHeader/>
          <w:tblCellSpacing w:w="15" w:type="dxa"/>
        </w:trPr>
        <w:tc>
          <w:tcPr>
            <w:tcW w:w="0" w:type="auto"/>
            <w:vAlign w:val="center"/>
            <w:hideMark/>
          </w:tcPr>
          <w:p w14:paraId="76031AB8" w14:textId="77777777" w:rsidR="007A454E" w:rsidRPr="007A454E" w:rsidRDefault="007A454E" w:rsidP="007A454E">
            <w:pPr>
              <w:rPr>
                <w:rFonts w:ascii="Calibri" w:hAnsi="Calibri" w:cs="Calibri"/>
                <w:b/>
                <w:bCs/>
              </w:rPr>
            </w:pPr>
            <w:r w:rsidRPr="007A454E">
              <w:rPr>
                <w:rFonts w:ascii="Calibri" w:hAnsi="Calibri" w:cs="Calibri"/>
                <w:b/>
                <w:bCs/>
              </w:rPr>
              <w:t>Partition</w:t>
            </w:r>
          </w:p>
        </w:tc>
        <w:tc>
          <w:tcPr>
            <w:tcW w:w="0" w:type="auto"/>
            <w:vAlign w:val="center"/>
            <w:hideMark/>
          </w:tcPr>
          <w:p w14:paraId="70250545" w14:textId="0F350275" w:rsidR="007A454E" w:rsidRPr="007A454E" w:rsidRDefault="005D48B6" w:rsidP="007A454E">
            <w:pPr>
              <w:rPr>
                <w:rFonts w:ascii="Calibri" w:hAnsi="Calibri" w:cs="Calibri"/>
                <w:b/>
                <w:bCs/>
              </w:rPr>
            </w:pPr>
            <w:r w:rsidRPr="007A454E">
              <w:rPr>
                <w:rFonts w:ascii="Calibri" w:hAnsi="Calibri" w:cs="Calibri"/>
                <w:b/>
                <w:bCs/>
              </w:rPr>
              <w:t>Train:</w:t>
            </w:r>
            <w:r w:rsidR="007A454E" w:rsidRPr="007A454E">
              <w:rPr>
                <w:rFonts w:ascii="Calibri" w:hAnsi="Calibri" w:cs="Calibri"/>
                <w:b/>
                <w:bCs/>
              </w:rPr>
              <w:t xml:space="preserve"> Test</w:t>
            </w:r>
          </w:p>
        </w:tc>
      </w:tr>
      <w:tr w:rsidR="007A454E" w:rsidRPr="007A454E" w14:paraId="63D6D1E6" w14:textId="77777777" w:rsidTr="007A454E">
        <w:trPr>
          <w:tblCellSpacing w:w="15" w:type="dxa"/>
        </w:trPr>
        <w:tc>
          <w:tcPr>
            <w:tcW w:w="0" w:type="auto"/>
            <w:vAlign w:val="center"/>
            <w:hideMark/>
          </w:tcPr>
          <w:p w14:paraId="026C5CCA" w14:textId="77777777" w:rsidR="007A454E" w:rsidRPr="007A454E" w:rsidRDefault="007A454E" w:rsidP="007A454E">
            <w:pPr>
              <w:rPr>
                <w:rFonts w:ascii="Calibri" w:hAnsi="Calibri" w:cs="Calibri"/>
              </w:rPr>
            </w:pPr>
            <w:r w:rsidRPr="007A454E">
              <w:rPr>
                <w:rFonts w:ascii="Calibri" w:hAnsi="Calibri" w:cs="Calibri"/>
                <w:b/>
                <w:bCs/>
              </w:rPr>
              <w:t>P₁</w:t>
            </w:r>
          </w:p>
        </w:tc>
        <w:tc>
          <w:tcPr>
            <w:tcW w:w="0" w:type="auto"/>
            <w:vAlign w:val="center"/>
            <w:hideMark/>
          </w:tcPr>
          <w:p w14:paraId="12305919" w14:textId="05D9EF66" w:rsidR="007A454E" w:rsidRPr="007A454E" w:rsidRDefault="007A454E" w:rsidP="007A454E">
            <w:pPr>
              <w:rPr>
                <w:rFonts w:ascii="Calibri" w:hAnsi="Calibri" w:cs="Calibri"/>
              </w:rPr>
            </w:pPr>
            <w:r w:rsidRPr="007A454E">
              <w:rPr>
                <w:rFonts w:ascii="Calibri" w:hAnsi="Calibri" w:cs="Calibri"/>
              </w:rPr>
              <w:t xml:space="preserve">80 </w:t>
            </w:r>
            <w:r w:rsidR="005D48B6" w:rsidRPr="007A454E">
              <w:rPr>
                <w:rFonts w:ascii="Calibri" w:hAnsi="Calibri" w:cs="Calibri"/>
              </w:rPr>
              <w:t>%:</w:t>
            </w:r>
            <w:r w:rsidRPr="007A454E">
              <w:rPr>
                <w:rFonts w:ascii="Calibri" w:hAnsi="Calibri" w:cs="Calibri"/>
              </w:rPr>
              <w:t xml:space="preserve"> 20 %</w:t>
            </w:r>
          </w:p>
        </w:tc>
      </w:tr>
      <w:tr w:rsidR="007A454E" w:rsidRPr="007A454E" w14:paraId="49B811CF" w14:textId="77777777" w:rsidTr="007A454E">
        <w:trPr>
          <w:tblCellSpacing w:w="15" w:type="dxa"/>
        </w:trPr>
        <w:tc>
          <w:tcPr>
            <w:tcW w:w="0" w:type="auto"/>
            <w:vAlign w:val="center"/>
            <w:hideMark/>
          </w:tcPr>
          <w:p w14:paraId="433F4FC7" w14:textId="77777777" w:rsidR="007A454E" w:rsidRPr="007A454E" w:rsidRDefault="007A454E" w:rsidP="007A454E">
            <w:pPr>
              <w:rPr>
                <w:rFonts w:ascii="Calibri" w:hAnsi="Calibri" w:cs="Calibri"/>
              </w:rPr>
            </w:pPr>
            <w:r w:rsidRPr="007A454E">
              <w:rPr>
                <w:rFonts w:ascii="Calibri" w:hAnsi="Calibri" w:cs="Calibri"/>
                <w:b/>
                <w:bCs/>
              </w:rPr>
              <w:t>P₂</w:t>
            </w:r>
          </w:p>
        </w:tc>
        <w:tc>
          <w:tcPr>
            <w:tcW w:w="0" w:type="auto"/>
            <w:vAlign w:val="center"/>
            <w:hideMark/>
          </w:tcPr>
          <w:p w14:paraId="6EE45C5B" w14:textId="6A6BA444" w:rsidR="007A454E" w:rsidRPr="007A454E" w:rsidRDefault="007A454E" w:rsidP="007A454E">
            <w:pPr>
              <w:rPr>
                <w:rFonts w:ascii="Calibri" w:hAnsi="Calibri" w:cs="Calibri"/>
              </w:rPr>
            </w:pPr>
            <w:r w:rsidRPr="007A454E">
              <w:rPr>
                <w:rFonts w:ascii="Calibri" w:hAnsi="Calibri" w:cs="Calibri"/>
              </w:rPr>
              <w:t xml:space="preserve">20 </w:t>
            </w:r>
            <w:r w:rsidR="005D48B6" w:rsidRPr="007A454E">
              <w:rPr>
                <w:rFonts w:ascii="Calibri" w:hAnsi="Calibri" w:cs="Calibri"/>
              </w:rPr>
              <w:t>%:</w:t>
            </w:r>
            <w:r w:rsidRPr="007A454E">
              <w:rPr>
                <w:rFonts w:ascii="Calibri" w:hAnsi="Calibri" w:cs="Calibri"/>
              </w:rPr>
              <w:t xml:space="preserve"> 80 %</w:t>
            </w:r>
          </w:p>
        </w:tc>
      </w:tr>
    </w:tbl>
    <w:p w14:paraId="35900AB1" w14:textId="77777777" w:rsidR="007A454E" w:rsidRPr="007A454E" w:rsidRDefault="007A454E" w:rsidP="007A454E">
      <w:pPr>
        <w:rPr>
          <w:rFonts w:ascii="Calibri" w:hAnsi="Calibri" w:cs="Calibri"/>
          <w:b/>
          <w:bCs/>
        </w:rPr>
      </w:pPr>
      <w:r w:rsidRPr="007A454E">
        <w:rPr>
          <w:rFonts w:ascii="Calibri" w:hAnsi="Calibri" w:cs="Calibri"/>
          <w:b/>
          <w:bCs/>
        </w:rPr>
        <w:t>2.5 Classifiers</w:t>
      </w:r>
    </w:p>
    <w:p w14:paraId="71F6EFA1" w14:textId="77777777" w:rsidR="007A454E" w:rsidRPr="007A454E" w:rsidRDefault="007A454E" w:rsidP="007A454E">
      <w:pPr>
        <w:numPr>
          <w:ilvl w:val="0"/>
          <w:numId w:val="5"/>
        </w:numPr>
        <w:rPr>
          <w:rFonts w:ascii="Calibri" w:hAnsi="Calibri" w:cs="Calibri"/>
        </w:rPr>
      </w:pPr>
      <w:r w:rsidRPr="007A454E">
        <w:rPr>
          <w:rFonts w:ascii="Calibri" w:hAnsi="Calibri" w:cs="Calibri"/>
          <w:b/>
          <w:bCs/>
        </w:rPr>
        <w:t>Logistic Regression</w:t>
      </w:r>
      <w:r w:rsidRPr="007A454E">
        <w:rPr>
          <w:rFonts w:ascii="Calibri" w:hAnsi="Calibri" w:cs="Calibri"/>
        </w:rPr>
        <w:t xml:space="preserve"> – baseline linear separator mapping log-odds of class membership.</w:t>
      </w:r>
    </w:p>
    <w:p w14:paraId="2953F0B2" w14:textId="45A3F5A2" w:rsidR="007A454E" w:rsidRPr="007A454E" w:rsidRDefault="007A454E" w:rsidP="007A454E">
      <w:pPr>
        <w:numPr>
          <w:ilvl w:val="0"/>
          <w:numId w:val="5"/>
        </w:numPr>
        <w:rPr>
          <w:rFonts w:ascii="Calibri" w:hAnsi="Calibri" w:cs="Calibri"/>
        </w:rPr>
      </w:pPr>
      <w:r w:rsidRPr="007A454E">
        <w:rPr>
          <w:rFonts w:ascii="Calibri" w:hAnsi="Calibri" w:cs="Calibri"/>
          <w:b/>
          <w:bCs/>
        </w:rPr>
        <w:t>Support-Vector Machine (RBF kernel)</w:t>
      </w:r>
      <w:r w:rsidRPr="007A454E">
        <w:rPr>
          <w:rFonts w:ascii="Calibri" w:hAnsi="Calibri" w:cs="Calibri"/>
        </w:rPr>
        <w:t xml:space="preserve"> – </w:t>
      </w:r>
      <w:r w:rsidR="005D48B6" w:rsidRPr="007A454E">
        <w:rPr>
          <w:rFonts w:ascii="Calibri" w:hAnsi="Calibri" w:cs="Calibri"/>
        </w:rPr>
        <w:t>maximizes</w:t>
      </w:r>
      <w:r w:rsidRPr="007A454E">
        <w:rPr>
          <w:rFonts w:ascii="Calibri" w:hAnsi="Calibri" w:cs="Calibri"/>
        </w:rPr>
        <w:t xml:space="preserve"> the margin via a nonlinear hyper-plane.</w:t>
      </w:r>
    </w:p>
    <w:p w14:paraId="1445A439" w14:textId="7D260A4F" w:rsidR="007A454E" w:rsidRPr="007A454E" w:rsidRDefault="007A454E" w:rsidP="007A454E">
      <w:pPr>
        <w:numPr>
          <w:ilvl w:val="0"/>
          <w:numId w:val="5"/>
        </w:numPr>
        <w:rPr>
          <w:rFonts w:ascii="Calibri" w:hAnsi="Calibri" w:cs="Calibri"/>
        </w:rPr>
      </w:pPr>
      <w:r w:rsidRPr="007A454E">
        <w:rPr>
          <w:rFonts w:ascii="Calibri" w:hAnsi="Calibri" w:cs="Calibri"/>
          <w:b/>
          <w:bCs/>
        </w:rPr>
        <w:t>Decision Tree (CART)</w:t>
      </w:r>
      <w:r w:rsidRPr="007A454E">
        <w:rPr>
          <w:rFonts w:ascii="Calibri" w:hAnsi="Calibri" w:cs="Calibri"/>
        </w:rPr>
        <w:t xml:space="preserve"> – recursively splits integer features to </w:t>
      </w:r>
      <w:r w:rsidR="005D48B6" w:rsidRPr="007A454E">
        <w:rPr>
          <w:rFonts w:ascii="Calibri" w:hAnsi="Calibri" w:cs="Calibri"/>
        </w:rPr>
        <w:t>minimize</w:t>
      </w:r>
      <w:r w:rsidRPr="007A454E">
        <w:rPr>
          <w:rFonts w:ascii="Calibri" w:hAnsi="Calibri" w:cs="Calibri"/>
        </w:rPr>
        <w:t xml:space="preserve"> Gini impurity. </w:t>
      </w:r>
    </w:p>
    <w:p w14:paraId="13A8BEA5" w14:textId="3171E314" w:rsidR="00AC5AF7" w:rsidRDefault="007A454E" w:rsidP="005D48B6">
      <w:pPr>
        <w:rPr>
          <w:rFonts w:ascii="Calibri" w:hAnsi="Calibri" w:cs="Calibri"/>
        </w:rPr>
      </w:pPr>
      <w:r w:rsidRPr="007A454E">
        <w:rPr>
          <w:rFonts w:ascii="Calibri" w:hAnsi="Calibri" w:cs="Calibri"/>
        </w:rPr>
        <w:t>Each model was trained three times on both partitions; mean training and test errors were recorded.</w:t>
      </w:r>
    </w:p>
    <w:p w14:paraId="0C9AFE0A" w14:textId="77777777" w:rsidR="00AC5AF7" w:rsidRDefault="00AC5AF7" w:rsidP="005D48B6">
      <w:pPr>
        <w:rPr>
          <w:rFonts w:ascii="Calibri" w:hAnsi="Calibri" w:cs="Calibri"/>
        </w:rPr>
      </w:pPr>
    </w:p>
    <w:p w14:paraId="5E8789EA" w14:textId="72729083" w:rsidR="00AC5AF7" w:rsidRPr="00EF00D2" w:rsidRDefault="00AC5AF7" w:rsidP="00AC5AF7">
      <w:pPr>
        <w:rPr>
          <w:rFonts w:ascii="Calibri" w:hAnsi="Calibri" w:cs="Calibri"/>
          <w:b/>
          <w:bCs/>
          <w:sz w:val="32"/>
          <w:szCs w:val="32"/>
        </w:rPr>
      </w:pPr>
      <w:r w:rsidRPr="00EF00D2">
        <w:rPr>
          <w:rFonts w:ascii="Calibri" w:hAnsi="Calibri" w:cs="Calibri"/>
          <w:b/>
          <w:bCs/>
          <w:sz w:val="32"/>
          <w:szCs w:val="32"/>
        </w:rPr>
        <w:t xml:space="preserve">3. </w:t>
      </w:r>
      <w:r w:rsidR="00EF00D2" w:rsidRPr="00EF00D2">
        <w:rPr>
          <w:rFonts w:ascii="Calibri" w:hAnsi="Calibri" w:cs="Calibri"/>
          <w:b/>
          <w:bCs/>
          <w:sz w:val="32"/>
          <w:szCs w:val="32"/>
        </w:rPr>
        <w:t>Experiments</w:t>
      </w:r>
    </w:p>
    <w:p w14:paraId="266B5535" w14:textId="64DD2A32" w:rsidR="005D48B6" w:rsidRPr="005D48B6" w:rsidRDefault="005D48B6" w:rsidP="005D48B6">
      <w:pPr>
        <w:rPr>
          <w:rFonts w:ascii="Calibri" w:hAnsi="Calibri" w:cs="Calibri"/>
        </w:rPr>
      </w:pPr>
      <w:r w:rsidRPr="005D48B6">
        <w:rPr>
          <w:rFonts w:ascii="Calibri" w:hAnsi="Calibri" w:cs="Calibri"/>
        </w:rPr>
        <w:t>The experiment proceeds in three stages:</w:t>
      </w:r>
    </w:p>
    <w:p w14:paraId="7EB099F5" w14:textId="77777777" w:rsidR="005D48B6" w:rsidRPr="005D48B6" w:rsidRDefault="005D48B6" w:rsidP="005D48B6">
      <w:pPr>
        <w:numPr>
          <w:ilvl w:val="0"/>
          <w:numId w:val="6"/>
        </w:numPr>
        <w:rPr>
          <w:rFonts w:ascii="Calibri" w:hAnsi="Calibri" w:cs="Calibri"/>
        </w:rPr>
      </w:pPr>
      <w:r w:rsidRPr="005D48B6">
        <w:rPr>
          <w:rFonts w:ascii="Calibri" w:hAnsi="Calibri" w:cs="Calibri"/>
          <w:b/>
          <w:bCs/>
        </w:rPr>
        <w:t>Model Training</w:t>
      </w:r>
      <w:r w:rsidRPr="005D48B6">
        <w:rPr>
          <w:rFonts w:ascii="Calibri" w:hAnsi="Calibri" w:cs="Calibri"/>
        </w:rPr>
        <w:t xml:space="preserve"> – For each dataset × partition × classifier triple, fit the model on the designated training subset.</w:t>
      </w:r>
    </w:p>
    <w:p w14:paraId="580F45B0" w14:textId="77777777" w:rsidR="005D48B6" w:rsidRPr="005D48B6" w:rsidRDefault="005D48B6" w:rsidP="005D48B6">
      <w:pPr>
        <w:numPr>
          <w:ilvl w:val="0"/>
          <w:numId w:val="6"/>
        </w:numPr>
        <w:rPr>
          <w:rFonts w:ascii="Calibri" w:hAnsi="Calibri" w:cs="Calibri"/>
        </w:rPr>
      </w:pPr>
      <w:r w:rsidRPr="005D48B6">
        <w:rPr>
          <w:rFonts w:ascii="Calibri" w:hAnsi="Calibri" w:cs="Calibri"/>
          <w:b/>
          <w:bCs/>
        </w:rPr>
        <w:t>Performance Evaluation</w:t>
      </w:r>
      <w:r w:rsidRPr="005D48B6">
        <w:rPr>
          <w:rFonts w:ascii="Calibri" w:hAnsi="Calibri" w:cs="Calibri"/>
        </w:rPr>
        <w:t xml:space="preserve"> – Record training error and test error per run, then take the arithmetic mean across three repetitions to mitigate random-seed variance.</w:t>
      </w:r>
    </w:p>
    <w:p w14:paraId="5CF14A2D" w14:textId="77777777" w:rsidR="005D48B6" w:rsidRPr="005D48B6" w:rsidRDefault="005D48B6" w:rsidP="005D48B6">
      <w:pPr>
        <w:numPr>
          <w:ilvl w:val="0"/>
          <w:numId w:val="6"/>
        </w:numPr>
        <w:rPr>
          <w:rFonts w:ascii="Calibri" w:hAnsi="Calibri" w:cs="Calibri"/>
        </w:rPr>
      </w:pPr>
      <w:r w:rsidRPr="005D48B6">
        <w:rPr>
          <w:rFonts w:ascii="Calibri" w:hAnsi="Calibri" w:cs="Calibri"/>
          <w:b/>
          <w:bCs/>
        </w:rPr>
        <w:t>Visual Diagnostics</w:t>
      </w:r>
      <w:r w:rsidRPr="005D48B6">
        <w:rPr>
          <w:rFonts w:ascii="Calibri" w:hAnsi="Calibri" w:cs="Calibri"/>
        </w:rPr>
        <w:t xml:space="preserve"> –</w:t>
      </w:r>
    </w:p>
    <w:p w14:paraId="2FB78700" w14:textId="77777777" w:rsidR="005D48B6" w:rsidRPr="005D48B6" w:rsidRDefault="005D48B6" w:rsidP="005D48B6">
      <w:pPr>
        <w:numPr>
          <w:ilvl w:val="1"/>
          <w:numId w:val="6"/>
        </w:numPr>
        <w:rPr>
          <w:rFonts w:ascii="Calibri" w:hAnsi="Calibri" w:cs="Calibri"/>
        </w:rPr>
      </w:pPr>
      <w:r w:rsidRPr="005D48B6">
        <w:rPr>
          <w:rFonts w:ascii="Calibri" w:hAnsi="Calibri" w:cs="Calibri"/>
        </w:rPr>
        <w:t xml:space="preserve">Heat-maps of decision-tree depth vs. cross-validated error determine optimal </w:t>
      </w:r>
      <w:proofErr w:type="spellStart"/>
      <w:r w:rsidRPr="005D48B6">
        <w:rPr>
          <w:rFonts w:ascii="Calibri" w:hAnsi="Calibri" w:cs="Calibri"/>
        </w:rPr>
        <w:t>max_depth</w:t>
      </w:r>
      <w:proofErr w:type="spellEnd"/>
      <w:r w:rsidRPr="005D48B6">
        <w:rPr>
          <w:rFonts w:ascii="Calibri" w:hAnsi="Calibri" w:cs="Calibri"/>
        </w:rPr>
        <w:t>.</w:t>
      </w:r>
    </w:p>
    <w:p w14:paraId="25962BA3" w14:textId="7C3D749E" w:rsidR="005D48B6" w:rsidRPr="00C66BBC" w:rsidRDefault="005D48B6" w:rsidP="0079459C">
      <w:pPr>
        <w:numPr>
          <w:ilvl w:val="1"/>
          <w:numId w:val="6"/>
        </w:numPr>
        <w:rPr>
          <w:rFonts w:ascii="Calibri" w:hAnsi="Calibri" w:cs="Calibri"/>
        </w:rPr>
      </w:pPr>
      <w:r w:rsidRPr="005D48B6">
        <w:rPr>
          <w:rFonts w:ascii="Calibri" w:hAnsi="Calibri" w:cs="Calibri"/>
        </w:rPr>
        <w:t xml:space="preserve">2-D scatter plots overlay the learned decision boundary onto (calories, sugar/fat) space, illustrating class separation. </w:t>
      </w:r>
    </w:p>
    <w:p w14:paraId="1DC86AB3" w14:textId="5502BB78" w:rsidR="00C66BBC" w:rsidRDefault="00C66BBC" w:rsidP="0079459C">
      <w:pPr>
        <w:rPr>
          <w:rFonts w:ascii="Calibri" w:hAnsi="Calibri" w:cs="Calibri"/>
        </w:rPr>
        <w:sectPr w:rsidR="00C66BBC" w:rsidSect="006F7AD4">
          <w:type w:val="continuous"/>
          <w:pgSz w:w="12240" w:h="15840" w:code="1"/>
          <w:pgMar w:top="288" w:right="288" w:bottom="288" w:left="288" w:header="720" w:footer="720" w:gutter="0"/>
          <w:cols w:space="720"/>
          <w:docGrid w:linePitch="360"/>
        </w:sectPr>
      </w:pPr>
      <w:r w:rsidRPr="00C66BBC">
        <w:rPr>
          <w:rFonts w:ascii="Calibri" w:hAnsi="Calibri" w:cs="Calibri"/>
        </w:rPr>
        <w:lastRenderedPageBreak/>
        <w:drawing>
          <wp:inline distT="0" distB="0" distL="0" distR="0" wp14:anchorId="64DEC15C" wp14:editId="508C607E">
            <wp:extent cx="7406640" cy="1897380"/>
            <wp:effectExtent l="0" t="0" r="3810" b="7620"/>
            <wp:docPr id="15759682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68260" name="Picture 1" descr="A screenshot of a computer&#10;&#10;AI-generated content may be incorrect."/>
                    <pic:cNvPicPr/>
                  </pic:nvPicPr>
                  <pic:blipFill>
                    <a:blip r:embed="rId5"/>
                    <a:stretch>
                      <a:fillRect/>
                    </a:stretch>
                  </pic:blipFill>
                  <pic:spPr>
                    <a:xfrm>
                      <a:off x="0" y="0"/>
                      <a:ext cx="7406640" cy="1897380"/>
                    </a:xfrm>
                    <a:prstGeom prst="rect">
                      <a:avLst/>
                    </a:prstGeom>
                  </pic:spPr>
                </pic:pic>
              </a:graphicData>
            </a:graphic>
          </wp:inline>
        </w:drawing>
      </w:r>
    </w:p>
    <w:p w14:paraId="33E74A32" w14:textId="77777777" w:rsidR="0079459C" w:rsidRPr="0079459C" w:rsidRDefault="0079459C" w:rsidP="0079459C">
      <w:pPr>
        <w:rPr>
          <w:rFonts w:ascii="Calibri" w:hAnsi="Calibri" w:cs="Calibri"/>
        </w:rPr>
      </w:pPr>
    </w:p>
    <w:p w14:paraId="5625B88E" w14:textId="65D03624" w:rsidR="00B713FE" w:rsidRPr="00B713FE" w:rsidRDefault="00B713FE" w:rsidP="00B713FE">
      <w:pPr>
        <w:rPr>
          <w:rFonts w:ascii="Calibri" w:hAnsi="Calibri" w:cs="Calibri"/>
          <w:b/>
          <w:bCs/>
          <w:sz w:val="32"/>
          <w:szCs w:val="32"/>
        </w:rPr>
      </w:pPr>
      <w:r w:rsidRPr="00B713FE">
        <w:rPr>
          <w:rFonts w:ascii="Calibri" w:hAnsi="Calibri" w:cs="Calibri"/>
          <w:b/>
          <w:bCs/>
          <w:sz w:val="32"/>
          <w:szCs w:val="32"/>
        </w:rPr>
        <w:t>5</w:t>
      </w:r>
      <w:r w:rsidRPr="00B713FE">
        <w:rPr>
          <w:rFonts w:ascii="Calibri" w:hAnsi="Calibri" w:cs="Calibri"/>
          <w:b/>
          <w:bCs/>
          <w:sz w:val="32"/>
          <w:szCs w:val="32"/>
        </w:rPr>
        <w:t>.</w:t>
      </w:r>
      <w:r w:rsidRPr="00B713FE">
        <w:rPr>
          <w:rFonts w:ascii="Calibri" w:hAnsi="Calibri" w:cs="Calibri"/>
          <w:b/>
          <w:bCs/>
          <w:sz w:val="32"/>
          <w:szCs w:val="32"/>
        </w:rPr>
        <w:t xml:space="preserve"> Conclusion</w:t>
      </w:r>
    </w:p>
    <w:p w14:paraId="00260425" w14:textId="0337DB84" w:rsidR="00B713FE" w:rsidRPr="00B713FE" w:rsidRDefault="00B713FE" w:rsidP="00B713FE">
      <w:pPr>
        <w:rPr>
          <w:rFonts w:ascii="Calibri" w:hAnsi="Calibri" w:cs="Calibri"/>
        </w:rPr>
      </w:pPr>
      <w:r w:rsidRPr="00B713FE">
        <w:rPr>
          <w:rFonts w:ascii="Calibri" w:hAnsi="Calibri" w:cs="Calibri"/>
        </w:rPr>
        <w:t xml:space="preserve">Using three public nutrition datasets, we show that model accuracy—and hence the reliability of popularity-vs-nutrition claims—depends strongly on both training-set size and classifier choice. An 80 / 20 split consistently produced lower test error than the more data-sparse 20 / 80 alternative, confirming conventional wisdom that larger training corpora combat over-fitting. Across all datasets, the simple CART decision tree achieved the smallest </w:t>
      </w:r>
      <w:r w:rsidRPr="00B713FE">
        <w:rPr>
          <w:rFonts w:ascii="Calibri" w:hAnsi="Calibri" w:cs="Calibri"/>
        </w:rPr>
        <w:t>generalization</w:t>
      </w:r>
      <w:r w:rsidRPr="00B713FE">
        <w:rPr>
          <w:rFonts w:ascii="Calibri" w:hAnsi="Calibri" w:cs="Calibri"/>
        </w:rPr>
        <w:t xml:space="preserve"> error, outperforming logistic regression and RBF-SVM despite their higher representational capacity. Qualitatively, the “popular” class (top brands, lunch entrées, espresso drinks) exhibited markedly higher median sugar or fat values, reinforcing concerns that marketing visibility aligns with poorer nutritional profiles. These findings underscore the importance of transparent labelling and suggest that even lightweight machine-learning models can offer actionable insights </w:t>
      </w:r>
      <w:r w:rsidRPr="00B713FE">
        <w:rPr>
          <w:rFonts w:ascii="Calibri" w:hAnsi="Calibri" w:cs="Calibri"/>
        </w:rPr>
        <w:t>into</w:t>
      </w:r>
      <w:r w:rsidRPr="00B713FE">
        <w:rPr>
          <w:rFonts w:ascii="Calibri" w:hAnsi="Calibri" w:cs="Calibri"/>
        </w:rPr>
        <w:t xml:space="preserve"> consumer health education. Future work should incorporate additional nutrients (e.g., sodium), expand to international menus, and explore ensemble methods to boost robustness. </w:t>
      </w:r>
    </w:p>
    <w:p w14:paraId="772537DE" w14:textId="77777777" w:rsidR="0079459C" w:rsidRPr="0079459C" w:rsidRDefault="0079459C" w:rsidP="0079459C">
      <w:pPr>
        <w:rPr>
          <w:rFonts w:ascii="Calibri" w:hAnsi="Calibri" w:cs="Calibri"/>
        </w:rPr>
      </w:pPr>
    </w:p>
    <w:sectPr w:rsidR="0079459C" w:rsidRPr="0079459C" w:rsidSect="00BE0C6A">
      <w:type w:val="continuous"/>
      <w:pgSz w:w="12240" w:h="15840" w:code="1"/>
      <w:pgMar w:top="288" w:right="288" w:bottom="288" w:left="288" w:header="720" w:footer="720" w:gutter="0"/>
      <w:cols w:num="2" w:space="720" w:equalWidth="0">
        <w:col w:w="9360" w:space="-1"/>
        <w:col w:w="-1"/>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199F"/>
    <w:multiLevelType w:val="multilevel"/>
    <w:tmpl w:val="2714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F5855"/>
    <w:multiLevelType w:val="multilevel"/>
    <w:tmpl w:val="E01E6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96C27"/>
    <w:multiLevelType w:val="hybridMultilevel"/>
    <w:tmpl w:val="A3A44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408C6"/>
    <w:multiLevelType w:val="hybridMultilevel"/>
    <w:tmpl w:val="A9887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D6452"/>
    <w:multiLevelType w:val="multilevel"/>
    <w:tmpl w:val="F0EE7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9B2A11"/>
    <w:multiLevelType w:val="hybridMultilevel"/>
    <w:tmpl w:val="E2BA9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F02C7D"/>
    <w:multiLevelType w:val="hybridMultilevel"/>
    <w:tmpl w:val="44724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9C0C5F"/>
    <w:multiLevelType w:val="multilevel"/>
    <w:tmpl w:val="AF34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3943F9"/>
    <w:multiLevelType w:val="multilevel"/>
    <w:tmpl w:val="F9EE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867554">
    <w:abstractNumId w:val="5"/>
  </w:num>
  <w:num w:numId="2" w16cid:durableId="69622240">
    <w:abstractNumId w:val="8"/>
  </w:num>
  <w:num w:numId="3" w16cid:durableId="1161580996">
    <w:abstractNumId w:val="7"/>
  </w:num>
  <w:num w:numId="4" w16cid:durableId="230360097">
    <w:abstractNumId w:val="0"/>
  </w:num>
  <w:num w:numId="5" w16cid:durableId="452679380">
    <w:abstractNumId w:val="1"/>
  </w:num>
  <w:num w:numId="6" w16cid:durableId="738943140">
    <w:abstractNumId w:val="4"/>
  </w:num>
  <w:num w:numId="7" w16cid:durableId="417531181">
    <w:abstractNumId w:val="2"/>
  </w:num>
  <w:num w:numId="8" w16cid:durableId="1055467226">
    <w:abstractNumId w:val="6"/>
  </w:num>
  <w:num w:numId="9" w16cid:durableId="3868042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9C"/>
    <w:rsid w:val="001652F6"/>
    <w:rsid w:val="00226837"/>
    <w:rsid w:val="002C6F7E"/>
    <w:rsid w:val="00574396"/>
    <w:rsid w:val="005D48B6"/>
    <w:rsid w:val="00625C59"/>
    <w:rsid w:val="006F7AD4"/>
    <w:rsid w:val="0076714B"/>
    <w:rsid w:val="0079459C"/>
    <w:rsid w:val="007A454E"/>
    <w:rsid w:val="00981F01"/>
    <w:rsid w:val="00A905CB"/>
    <w:rsid w:val="00AC5AF7"/>
    <w:rsid w:val="00B713FE"/>
    <w:rsid w:val="00BE0C6A"/>
    <w:rsid w:val="00BE3267"/>
    <w:rsid w:val="00C66BBC"/>
    <w:rsid w:val="00D35073"/>
    <w:rsid w:val="00EF0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E0DD"/>
  <w15:chartTrackingRefBased/>
  <w15:docId w15:val="{731AD494-FE7D-4CCB-A60E-065C5EF81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5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45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45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5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5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5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5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5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5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5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45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45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5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5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5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5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5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59C"/>
    <w:rPr>
      <w:rFonts w:eastAsiaTheme="majorEastAsia" w:cstheme="majorBidi"/>
      <w:color w:val="272727" w:themeColor="text1" w:themeTint="D8"/>
    </w:rPr>
  </w:style>
  <w:style w:type="paragraph" w:styleId="Title">
    <w:name w:val="Title"/>
    <w:basedOn w:val="Normal"/>
    <w:next w:val="Normal"/>
    <w:link w:val="TitleChar"/>
    <w:uiPriority w:val="10"/>
    <w:qFormat/>
    <w:rsid w:val="00794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5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5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5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59C"/>
    <w:pPr>
      <w:spacing w:before="160"/>
      <w:jc w:val="center"/>
    </w:pPr>
    <w:rPr>
      <w:i/>
      <w:iCs/>
      <w:color w:val="404040" w:themeColor="text1" w:themeTint="BF"/>
    </w:rPr>
  </w:style>
  <w:style w:type="character" w:customStyle="1" w:styleId="QuoteChar">
    <w:name w:val="Quote Char"/>
    <w:basedOn w:val="DefaultParagraphFont"/>
    <w:link w:val="Quote"/>
    <w:uiPriority w:val="29"/>
    <w:rsid w:val="0079459C"/>
    <w:rPr>
      <w:i/>
      <w:iCs/>
      <w:color w:val="404040" w:themeColor="text1" w:themeTint="BF"/>
    </w:rPr>
  </w:style>
  <w:style w:type="paragraph" w:styleId="ListParagraph">
    <w:name w:val="List Paragraph"/>
    <w:basedOn w:val="Normal"/>
    <w:uiPriority w:val="34"/>
    <w:qFormat/>
    <w:rsid w:val="0079459C"/>
    <w:pPr>
      <w:ind w:left="720"/>
      <w:contextualSpacing/>
    </w:pPr>
  </w:style>
  <w:style w:type="character" w:styleId="IntenseEmphasis">
    <w:name w:val="Intense Emphasis"/>
    <w:basedOn w:val="DefaultParagraphFont"/>
    <w:uiPriority w:val="21"/>
    <w:qFormat/>
    <w:rsid w:val="0079459C"/>
    <w:rPr>
      <w:i/>
      <w:iCs/>
      <w:color w:val="0F4761" w:themeColor="accent1" w:themeShade="BF"/>
    </w:rPr>
  </w:style>
  <w:style w:type="paragraph" w:styleId="IntenseQuote">
    <w:name w:val="Intense Quote"/>
    <w:basedOn w:val="Normal"/>
    <w:next w:val="Normal"/>
    <w:link w:val="IntenseQuoteChar"/>
    <w:uiPriority w:val="30"/>
    <w:qFormat/>
    <w:rsid w:val="007945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59C"/>
    <w:rPr>
      <w:i/>
      <w:iCs/>
      <w:color w:val="0F4761" w:themeColor="accent1" w:themeShade="BF"/>
    </w:rPr>
  </w:style>
  <w:style w:type="character" w:styleId="IntenseReference">
    <w:name w:val="Intense Reference"/>
    <w:basedOn w:val="DefaultParagraphFont"/>
    <w:uiPriority w:val="32"/>
    <w:qFormat/>
    <w:rsid w:val="007945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4283">
      <w:bodyDiv w:val="1"/>
      <w:marLeft w:val="0"/>
      <w:marRight w:val="0"/>
      <w:marTop w:val="0"/>
      <w:marBottom w:val="0"/>
      <w:divBdr>
        <w:top w:val="none" w:sz="0" w:space="0" w:color="auto"/>
        <w:left w:val="none" w:sz="0" w:space="0" w:color="auto"/>
        <w:bottom w:val="none" w:sz="0" w:space="0" w:color="auto"/>
        <w:right w:val="none" w:sz="0" w:space="0" w:color="auto"/>
      </w:divBdr>
    </w:div>
    <w:div w:id="298268930">
      <w:bodyDiv w:val="1"/>
      <w:marLeft w:val="0"/>
      <w:marRight w:val="0"/>
      <w:marTop w:val="0"/>
      <w:marBottom w:val="0"/>
      <w:divBdr>
        <w:top w:val="none" w:sz="0" w:space="0" w:color="auto"/>
        <w:left w:val="none" w:sz="0" w:space="0" w:color="auto"/>
        <w:bottom w:val="none" w:sz="0" w:space="0" w:color="auto"/>
        <w:right w:val="none" w:sz="0" w:space="0" w:color="auto"/>
      </w:divBdr>
    </w:div>
    <w:div w:id="338896662">
      <w:bodyDiv w:val="1"/>
      <w:marLeft w:val="0"/>
      <w:marRight w:val="0"/>
      <w:marTop w:val="0"/>
      <w:marBottom w:val="0"/>
      <w:divBdr>
        <w:top w:val="none" w:sz="0" w:space="0" w:color="auto"/>
        <w:left w:val="none" w:sz="0" w:space="0" w:color="auto"/>
        <w:bottom w:val="none" w:sz="0" w:space="0" w:color="auto"/>
        <w:right w:val="none" w:sz="0" w:space="0" w:color="auto"/>
      </w:divBdr>
    </w:div>
    <w:div w:id="458379309">
      <w:bodyDiv w:val="1"/>
      <w:marLeft w:val="0"/>
      <w:marRight w:val="0"/>
      <w:marTop w:val="0"/>
      <w:marBottom w:val="0"/>
      <w:divBdr>
        <w:top w:val="none" w:sz="0" w:space="0" w:color="auto"/>
        <w:left w:val="none" w:sz="0" w:space="0" w:color="auto"/>
        <w:bottom w:val="none" w:sz="0" w:space="0" w:color="auto"/>
        <w:right w:val="none" w:sz="0" w:space="0" w:color="auto"/>
      </w:divBdr>
    </w:div>
    <w:div w:id="770122460">
      <w:bodyDiv w:val="1"/>
      <w:marLeft w:val="0"/>
      <w:marRight w:val="0"/>
      <w:marTop w:val="0"/>
      <w:marBottom w:val="0"/>
      <w:divBdr>
        <w:top w:val="none" w:sz="0" w:space="0" w:color="auto"/>
        <w:left w:val="none" w:sz="0" w:space="0" w:color="auto"/>
        <w:bottom w:val="none" w:sz="0" w:space="0" w:color="auto"/>
        <w:right w:val="none" w:sz="0" w:space="0" w:color="auto"/>
      </w:divBdr>
      <w:divsChild>
        <w:div w:id="759450779">
          <w:marLeft w:val="0"/>
          <w:marRight w:val="0"/>
          <w:marTop w:val="0"/>
          <w:marBottom w:val="0"/>
          <w:divBdr>
            <w:top w:val="none" w:sz="0" w:space="0" w:color="auto"/>
            <w:left w:val="none" w:sz="0" w:space="0" w:color="auto"/>
            <w:bottom w:val="none" w:sz="0" w:space="0" w:color="auto"/>
            <w:right w:val="none" w:sz="0" w:space="0" w:color="auto"/>
          </w:divBdr>
          <w:divsChild>
            <w:div w:id="873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3948">
      <w:bodyDiv w:val="1"/>
      <w:marLeft w:val="0"/>
      <w:marRight w:val="0"/>
      <w:marTop w:val="0"/>
      <w:marBottom w:val="0"/>
      <w:divBdr>
        <w:top w:val="none" w:sz="0" w:space="0" w:color="auto"/>
        <w:left w:val="none" w:sz="0" w:space="0" w:color="auto"/>
        <w:bottom w:val="none" w:sz="0" w:space="0" w:color="auto"/>
        <w:right w:val="none" w:sz="0" w:space="0" w:color="auto"/>
      </w:divBdr>
    </w:div>
    <w:div w:id="958997586">
      <w:bodyDiv w:val="1"/>
      <w:marLeft w:val="0"/>
      <w:marRight w:val="0"/>
      <w:marTop w:val="0"/>
      <w:marBottom w:val="0"/>
      <w:divBdr>
        <w:top w:val="none" w:sz="0" w:space="0" w:color="auto"/>
        <w:left w:val="none" w:sz="0" w:space="0" w:color="auto"/>
        <w:bottom w:val="none" w:sz="0" w:space="0" w:color="auto"/>
        <w:right w:val="none" w:sz="0" w:space="0" w:color="auto"/>
      </w:divBdr>
    </w:div>
    <w:div w:id="968243582">
      <w:bodyDiv w:val="1"/>
      <w:marLeft w:val="0"/>
      <w:marRight w:val="0"/>
      <w:marTop w:val="0"/>
      <w:marBottom w:val="0"/>
      <w:divBdr>
        <w:top w:val="none" w:sz="0" w:space="0" w:color="auto"/>
        <w:left w:val="none" w:sz="0" w:space="0" w:color="auto"/>
        <w:bottom w:val="none" w:sz="0" w:space="0" w:color="auto"/>
        <w:right w:val="none" w:sz="0" w:space="0" w:color="auto"/>
      </w:divBdr>
    </w:div>
    <w:div w:id="1040472263">
      <w:bodyDiv w:val="1"/>
      <w:marLeft w:val="0"/>
      <w:marRight w:val="0"/>
      <w:marTop w:val="0"/>
      <w:marBottom w:val="0"/>
      <w:divBdr>
        <w:top w:val="none" w:sz="0" w:space="0" w:color="auto"/>
        <w:left w:val="none" w:sz="0" w:space="0" w:color="auto"/>
        <w:bottom w:val="none" w:sz="0" w:space="0" w:color="auto"/>
        <w:right w:val="none" w:sz="0" w:space="0" w:color="auto"/>
      </w:divBdr>
    </w:div>
    <w:div w:id="1097100137">
      <w:bodyDiv w:val="1"/>
      <w:marLeft w:val="0"/>
      <w:marRight w:val="0"/>
      <w:marTop w:val="0"/>
      <w:marBottom w:val="0"/>
      <w:divBdr>
        <w:top w:val="none" w:sz="0" w:space="0" w:color="auto"/>
        <w:left w:val="none" w:sz="0" w:space="0" w:color="auto"/>
        <w:bottom w:val="none" w:sz="0" w:space="0" w:color="auto"/>
        <w:right w:val="none" w:sz="0" w:space="0" w:color="auto"/>
      </w:divBdr>
    </w:div>
    <w:div w:id="1537500206">
      <w:bodyDiv w:val="1"/>
      <w:marLeft w:val="0"/>
      <w:marRight w:val="0"/>
      <w:marTop w:val="0"/>
      <w:marBottom w:val="0"/>
      <w:divBdr>
        <w:top w:val="none" w:sz="0" w:space="0" w:color="auto"/>
        <w:left w:val="none" w:sz="0" w:space="0" w:color="auto"/>
        <w:bottom w:val="none" w:sz="0" w:space="0" w:color="auto"/>
        <w:right w:val="none" w:sz="0" w:space="0" w:color="auto"/>
      </w:divBdr>
      <w:divsChild>
        <w:div w:id="901714418">
          <w:marLeft w:val="0"/>
          <w:marRight w:val="0"/>
          <w:marTop w:val="0"/>
          <w:marBottom w:val="0"/>
          <w:divBdr>
            <w:top w:val="none" w:sz="0" w:space="0" w:color="auto"/>
            <w:left w:val="none" w:sz="0" w:space="0" w:color="auto"/>
            <w:bottom w:val="none" w:sz="0" w:space="0" w:color="auto"/>
            <w:right w:val="none" w:sz="0" w:space="0" w:color="auto"/>
          </w:divBdr>
          <w:divsChild>
            <w:div w:id="3896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6432">
      <w:bodyDiv w:val="1"/>
      <w:marLeft w:val="0"/>
      <w:marRight w:val="0"/>
      <w:marTop w:val="0"/>
      <w:marBottom w:val="0"/>
      <w:divBdr>
        <w:top w:val="none" w:sz="0" w:space="0" w:color="auto"/>
        <w:left w:val="none" w:sz="0" w:space="0" w:color="auto"/>
        <w:bottom w:val="none" w:sz="0" w:space="0" w:color="auto"/>
        <w:right w:val="none" w:sz="0" w:space="0" w:color="auto"/>
      </w:divBdr>
    </w:div>
    <w:div w:id="2011059996">
      <w:bodyDiv w:val="1"/>
      <w:marLeft w:val="0"/>
      <w:marRight w:val="0"/>
      <w:marTop w:val="0"/>
      <w:marBottom w:val="0"/>
      <w:divBdr>
        <w:top w:val="none" w:sz="0" w:space="0" w:color="auto"/>
        <w:left w:val="none" w:sz="0" w:space="0" w:color="auto"/>
        <w:bottom w:val="none" w:sz="0" w:space="0" w:color="auto"/>
        <w:right w:val="none" w:sz="0" w:space="0" w:color="auto"/>
      </w:divBdr>
    </w:div>
    <w:div w:id="213571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807</Words>
  <Characters>4605</Characters>
  <Application>Microsoft Office Word</Application>
  <DocSecurity>0</DocSecurity>
  <Lines>38</Lines>
  <Paragraphs>10</Paragraphs>
  <ScaleCrop>false</ScaleCrop>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Ostia</dc:creator>
  <cp:keywords/>
  <dc:description/>
  <cp:lastModifiedBy>Anthony Ostia</cp:lastModifiedBy>
  <cp:revision>14</cp:revision>
  <dcterms:created xsi:type="dcterms:W3CDTF">2025-05-05T00:18:00Z</dcterms:created>
  <dcterms:modified xsi:type="dcterms:W3CDTF">2025-05-05T01:06:00Z</dcterms:modified>
</cp:coreProperties>
</file>