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Arial" w:cs="Arial" w:eastAsia="Arial" w:hAnsi="Arial"/>
          <w:b/>
          <w:bCs/>
          <w:color w:val="1F4E79"/>
          <w:sz w:val="56"/>
          <w:szCs w:val="56"/>
        </w:rPr>
        <w:t xml:space="preserve">Test Plan</w:t>
      </w:r>
    </w:p>
    <w:p>
      <w:pPr>
        <w:spacing w:after="80" w:before="0"/>
      </w:pPr>
      <w:r>
        <w:rPr>
          <w:rFonts w:ascii="Arial" w:cs="Arial" w:eastAsia="Arial" w:hAnsi="Arial"/>
          <w:b/>
          <w:bCs/>
          <w:color w:val="2E75B6"/>
          <w:sz w:val="36"/>
          <w:szCs w:val="36"/>
        </w:rPr>
        <w:t xml:space="preserve">Conditional Access Group Automation</w:t>
      </w:r>
    </w:p>
    <w:p>
      <w:pPr>
        <w:pBdr>
          <w:bottom w:val="single" w:color="2E75B6" w:sz="12" w:space="1"/>
        </w:pBdr>
        <w:spacing w:after="240" w:before="0"/>
      </w:pPr>
      <w:r>
        <w:rPr>
          <w:rFonts w:ascii="Arial" w:cs="Arial" w:eastAsia="Arial" w:hAnsi="Arial"/>
          <w:color w:val="606060"/>
          <w:sz w:val="22"/>
          <w:szCs w:val="22"/>
        </w:rPr>
        <w:t xml:space="preserve">High Secure Subscription Access Control — Terraform &amp; Azure DevOps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Document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C0006"/>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Area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Landing Zone — High Secure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Test Coverage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 Scanner · Pipeline · E2E</w:t>
            </w:r>
          </w:p>
        </w:tc>
      </w:tr>
    </w:tbl>
    <w:p>
      <w:pPr>
        <w:spacing w:after="80" w:before="80"/>
      </w:pPr>
      <w:r>
        <w:t xml:space="preserve"/>
      </w:r>
    </w:p>
    <w:p>
      <w:pPr>
        <w:spacing w:after="80" w:before="80"/>
      </w:pPr>
      <w:r>
        <w:t xml:space="preserve"/>
      </w:r>
    </w:p>
    <w:p>
      <w:pPr>
        <w:pStyle w:val="Heading1"/>
      </w:pPr>
      <w:r>
        <w:rPr>
          <w:rFonts w:ascii="Arial" w:cs="Arial" w:eastAsia="Arial" w:hAnsi="Arial"/>
          <w:b/>
          <w:bCs/>
          <w:color w:val="1F4E79"/>
          <w:sz w:val="32"/>
          <w:szCs w:val="32"/>
        </w:rPr>
        <w:t xml:space="preserve">1. Purpose and Scope</w:t>
      </w:r>
    </w:p>
    <w:p>
      <w:pPr>
        <w:spacing w:after="120" w:before="120"/>
      </w:pPr>
      <w:r>
        <w:rPr>
          <w:rFonts w:ascii="Arial" w:cs="Arial" w:eastAsia="Arial" w:hAnsi="Arial"/>
          <w:b w:val="false"/>
          <w:bCs w:val="false"/>
          <w:color w:val="000000"/>
          <w:sz w:val="20"/>
          <w:szCs w:val="20"/>
        </w:rPr>
        <w:t xml:space="preserve">This test plan defines the test strategy, test cases, and acceptance criteria for the Conditional Access Group Automation solution. The solution enforces that no user can obtain Azure RBAC access to High Secure (HS) subscriptions without Conditional Access protection, using Terraform as the source of truth across three repositories.</w:t>
      </w:r>
    </w:p>
    <w:p>
      <w:pPr>
        <w:spacing w:after="80" w:before="80"/>
      </w:pPr>
      <w:r>
        <w:t xml:space="preserve"/>
      </w:r>
    </w:p>
    <w:p>
      <w:pPr>
        <w:spacing w:after="120" w:before="120"/>
      </w:pPr>
      <w:r>
        <w:rPr>
          <w:rFonts w:ascii="Arial" w:cs="Arial" w:eastAsia="Arial" w:hAnsi="Arial"/>
          <w:b/>
          <w:bCs/>
          <w:color w:val="000000"/>
          <w:sz w:val="20"/>
          <w:szCs w:val="20"/>
        </w:rPr>
        <w:t xml:space="preserve">The following components are in scope:</w:t>
      </w:r>
    </w:p>
    <w:p>
      <w:pPr>
        <w:pStyle w:val="ListParagraph"/>
        <w:numPr>
          <w:ilvl w:val="0"/>
          <w:numId w:val="2"/>
        </w:numPr>
        <w:spacing w:after="60" w:before="60"/>
      </w:pPr>
      <w:r>
        <w:rPr>
          <w:rFonts w:ascii="Arial" w:cs="Arial" w:eastAsia="Arial" w:hAnsi="Arial"/>
          <w:b w:val="false"/>
          <w:bCs w:val="false"/>
          <w:sz w:val="20"/>
          <w:szCs w:val="20"/>
        </w:rPr>
        <w:t xml:space="preserve">Terraform modules — CA group membership and RBAC role assignment</w:t>
      </w:r>
    </w:p>
    <w:p>
      <w:pPr>
        <w:pStyle w:val="ListParagraph"/>
        <w:numPr>
          <w:ilvl w:val="0"/>
          <w:numId w:val="2"/>
        </w:numPr>
        <w:spacing w:after="60" w:before="60"/>
      </w:pPr>
      <w:r>
        <w:rPr>
          <w:rFonts w:ascii="Arial" w:cs="Arial" w:eastAsia="Arial" w:hAnsi="Arial"/>
          <w:b w:val="false"/>
          <w:bCs w:val="false"/>
          <w:sz w:val="20"/>
          <w:szCs w:val="20"/>
        </w:rPr>
        <w:t xml:space="preserve">Compliance scanner — drift detection and remediation logic</w:t>
      </w:r>
    </w:p>
    <w:p>
      <w:pPr>
        <w:pStyle w:val="ListParagraph"/>
        <w:numPr>
          <w:ilvl w:val="0"/>
          <w:numId w:val="2"/>
        </w:numPr>
        <w:spacing w:after="60" w:before="60"/>
      </w:pPr>
      <w:r>
        <w:rPr>
          <w:rFonts w:ascii="Arial" w:cs="Arial" w:eastAsia="Arial" w:hAnsi="Arial"/>
          <w:b w:val="false"/>
          <w:bCs w:val="false"/>
          <w:sz w:val="20"/>
          <w:szCs w:val="20"/>
        </w:rPr>
        <w:t xml:space="preserve">Azure DevOps pipelines — PR validation, apply gates, and remediation PR automation</w:t>
      </w:r>
    </w:p>
    <w:p>
      <w:pPr>
        <w:pStyle w:val="ListParagraph"/>
        <w:numPr>
          <w:ilvl w:val="0"/>
          <w:numId w:val="2"/>
        </w:numPr>
        <w:spacing w:after="60" w:before="60"/>
      </w:pPr>
      <w:r>
        <w:rPr>
          <w:rFonts w:ascii="Arial" w:cs="Arial" w:eastAsia="Arial" w:hAnsi="Arial"/>
          <w:b w:val="false"/>
          <w:bCs w:val="false"/>
          <w:sz w:val="20"/>
          <w:szCs w:val="20"/>
        </w:rPr>
        <w:t xml:space="preserve">End-to-end scenario flows — all five documented compliance scenarios</w:t>
      </w:r>
    </w:p>
    <w:p>
      <w:pPr>
        <w:spacing w:after="80" w:before="80"/>
      </w:pPr>
      <w:r>
        <w:t xml:space="preserve"/>
      </w:r>
    </w:p>
    <w:p>
      <w:pPr>
        <w:pStyle w:val="Heading1"/>
      </w:pPr>
      <w:r>
        <w:rPr>
          <w:rFonts w:ascii="Arial" w:cs="Arial" w:eastAsia="Arial" w:hAnsi="Arial"/>
          <w:b/>
          <w:bCs/>
          <w:color w:val="1F4E79"/>
          <w:sz w:val="32"/>
          <w:szCs w:val="32"/>
        </w:rPr>
        <w:t xml:space="preserve">2. Test Approach</w:t>
      </w:r>
    </w:p>
    <w:p>
      <w:pPr>
        <w:spacing w:after="120" w:before="120"/>
      </w:pPr>
      <w:r>
        <w:rPr>
          <w:rFonts w:ascii="Arial" w:cs="Arial" w:eastAsia="Arial" w:hAnsi="Arial"/>
          <w:b w:val="false"/>
          <w:bCs w:val="false"/>
          <w:color w:val="000000"/>
          <w:sz w:val="20"/>
          <w:szCs w:val="20"/>
        </w:rPr>
        <w:t xml:space="preserve">Testing is structured across four layers, progressing from unit-level Terraform validation through to full end-to-end scenario execution. Where possible, tests are automated within the Azure DevOps pipeline. End-to-end tests require a dedicated test subscription and test Entra ID objects to avoid impact on production.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L1 — 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plan output, module logic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CLI, Terratest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L2 — Component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 logic in isolation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Pester (PowerShell)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(mocked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L3 —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gates and triggers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DevOps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ADO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L4 — End-to-End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scenario flows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 ADO + Manual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subscription</w:t>
            </w:r>
          </w:p>
        </w:tc>
      </w:tr>
    </w:tbl>
    <w:p>
      <w:pPr>
        <w:spacing w:after="80" w:before="80"/>
      </w:pPr>
      <w:r>
        <w:t xml:space="preserve"/>
      </w:r>
    </w:p>
    <w:p>
      <w:pPr>
        <w:pStyle w:val="Heading1"/>
      </w:pPr>
      <w:r>
        <w:rPr>
          <w:rFonts w:ascii="Arial" w:cs="Arial" w:eastAsia="Arial" w:hAnsi="Arial"/>
          <w:b/>
          <w:bCs/>
          <w:color w:val="1F4E79"/>
          <w:sz w:val="32"/>
          <w:szCs w:val="32"/>
        </w:rPr>
        <w:t xml:space="preserve">3. Test Environment Requirements</w:t>
      </w:r>
    </w:p>
    <w:p>
      <w:pPr>
        <w:pStyle w:val="ListParagraph"/>
        <w:numPr>
          <w:ilvl w:val="0"/>
          <w:numId w:val="2"/>
        </w:numPr>
        <w:spacing w:after="60" w:before="60"/>
      </w:pPr>
      <w:r>
        <w:rPr>
          <w:rFonts w:ascii="Arial" w:cs="Arial" w:eastAsia="Arial" w:hAnsi="Arial"/>
          <w:b w:val="false"/>
          <w:bCs w:val="false"/>
          <w:sz w:val="20"/>
          <w:szCs w:val="20"/>
        </w:rPr>
        <w:t xml:space="preserve">A dedicated Azure test subscription scoped to HS Landing Zone policies</w:t>
      </w:r>
    </w:p>
    <w:p>
      <w:pPr>
        <w:pStyle w:val="ListParagraph"/>
        <w:numPr>
          <w:ilvl w:val="0"/>
          <w:numId w:val="2"/>
        </w:numPr>
        <w:spacing w:after="60" w:before="60"/>
      </w:pPr>
      <w:r>
        <w:rPr>
          <w:rFonts w:ascii="Arial" w:cs="Arial" w:eastAsia="Arial" w:hAnsi="Arial"/>
          <w:b w:val="false"/>
          <w:bCs w:val="false"/>
          <w:sz w:val="20"/>
          <w:szCs w:val="20"/>
        </w:rPr>
        <w:t xml:space="preserve">Test Entra ID users (e.g. testuser-lz-001@domain.com) with no production access</w:t>
      </w:r>
    </w:p>
    <w:p>
      <w:pPr>
        <w:pStyle w:val="ListParagraph"/>
        <w:numPr>
          <w:ilvl w:val="0"/>
          <w:numId w:val="2"/>
        </w:numPr>
        <w:spacing w:after="60" w:before="60"/>
      </w:pPr>
      <w:r>
        <w:rPr>
          <w:rFonts w:ascii="Arial" w:cs="Arial" w:eastAsia="Arial" w:hAnsi="Arial"/>
          <w:b w:val="false"/>
          <w:bCs w:val="false"/>
          <w:sz w:val="20"/>
          <w:szCs w:val="20"/>
        </w:rPr>
        <w:t xml:space="preserve">A test CA group (e.g. GBM-B-AZ-LZ-High-Sec-TEST) that mirrors the production group</w:t>
      </w:r>
    </w:p>
    <w:p>
      <w:pPr>
        <w:pStyle w:val="ListParagraph"/>
        <w:numPr>
          <w:ilvl w:val="0"/>
          <w:numId w:val="2"/>
        </w:numPr>
        <w:spacing w:after="60" w:before="60"/>
      </w:pPr>
      <w:r>
        <w:rPr>
          <w:rFonts w:ascii="Arial" w:cs="Arial" w:eastAsia="Arial" w:hAnsi="Arial"/>
          <w:b w:val="false"/>
          <w:bCs w:val="false"/>
          <w:sz w:val="20"/>
          <w:szCs w:val="20"/>
        </w:rPr>
        <w:t xml:space="preserve">Separate ADO pipeline environments pointing to test repos/subscriptions</w:t>
      </w:r>
    </w:p>
    <w:p>
      <w:pPr>
        <w:pStyle w:val="ListParagraph"/>
        <w:numPr>
          <w:ilvl w:val="0"/>
          <w:numId w:val="2"/>
        </w:numPr>
        <w:spacing w:after="60" w:before="60"/>
      </w:pPr>
      <w:r>
        <w:rPr>
          <w:rFonts w:ascii="Arial" w:cs="Arial" w:eastAsia="Arial" w:hAnsi="Arial"/>
          <w:b w:val="false"/>
          <w:bCs w:val="false"/>
          <w:sz w:val="20"/>
          <w:szCs w:val="20"/>
        </w:rPr>
        <w:t xml:space="preserve">Service principal with permissions scoped to test subscription and test CA group only</w:t>
      </w:r>
    </w:p>
    <w:p>
      <w:pPr>
        <w:pStyle w:val="ListParagraph"/>
        <w:numPr>
          <w:ilvl w:val="0"/>
          <w:numId w:val="2"/>
        </w:numPr>
        <w:spacing w:after="60" w:before="60"/>
      </w:pPr>
      <w:r>
        <w:rPr>
          <w:rFonts w:ascii="Arial" w:cs="Arial" w:eastAsia="Arial" w:hAnsi="Arial"/>
          <w:b w:val="false"/>
          <w:bCs w:val="false"/>
          <w:sz w:val="20"/>
          <w:szCs w:val="20"/>
        </w:rPr>
        <w:t xml:space="preserve">Remote Terraform backend (Storage Account) for test state, separate from production</w:t>
      </w:r>
    </w:p>
    <w:p>
      <w:pPr>
        <w:spacing w:after="80" w:before="80"/>
      </w:pPr>
      <w:r>
        <w:t xml:space="preserve"/>
      </w:r>
    </w:p>
    <w:p>
      <w:pPr>
        <w:pStyle w:val="Heading1"/>
      </w:pPr>
      <w:r>
        <w:rPr>
          <w:rFonts w:ascii="Arial" w:cs="Arial" w:eastAsia="Arial" w:hAnsi="Arial"/>
          <w:b/>
          <w:bCs/>
          <w:color w:val="1F4E79"/>
          <w:sz w:val="32"/>
          <w:szCs w:val="32"/>
        </w:rPr>
        <w:t xml:space="preserve">4. Test Cases</w:t>
      </w:r>
    </w:p>
    <w:p>
      <w:pPr>
        <w:spacing w:after="80" w:before="80"/>
      </w:pPr>
      <w:r>
        <w:t xml:space="preserve"/>
      </w:r>
    </w:p>
    <w:p>
      <w:pPr>
        <w:pStyle w:val="Heading2"/>
      </w:pPr>
      <w:r>
        <w:rPr>
          <w:rFonts w:ascii="Arial" w:cs="Arial" w:eastAsia="Arial" w:hAnsi="Arial"/>
          <w:b/>
          <w:bCs/>
          <w:color w:val="2E75B6"/>
          <w:sz w:val="26"/>
          <w:szCs w:val="26"/>
        </w:rPr>
        <w:t xml:space="preserve">4.1 Terraform Module Tests</w:t>
      </w:r>
    </w:p>
    <w:p>
      <w:pPr>
        <w:spacing w:after="120" w:before="120"/>
      </w:pPr>
      <w:r>
        <w:rPr>
          <w:rFonts w:ascii="Arial" w:cs="Arial" w:eastAsia="Arial" w:hAnsi="Arial"/>
          <w:b w:val="false"/>
          <w:bCs w:val="false"/>
          <w:color w:val="000000"/>
          <w:sz w:val="20"/>
          <w:szCs w:val="20"/>
        </w:rPr>
        <w:t xml:space="preserve">These tests validate that Terraform plan and apply produce the correct resource changes for both the CA group membership and RBAC role assignment modules.</w:t>
      </w:r>
    </w:p>
    <w:p>
      <w:pPr>
        <w:spacing w:after="80" w:before="8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400"/>
        <w:gridCol w:w="1600"/>
        <w:gridCol w:w="1600"/>
        <w:gridCol w:w="1600"/>
        <w:gridCol w:w="800"/>
        <w:gridCol w:w="1000"/>
        <w:gridCol w:w="8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Preconditions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TF-01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 Group resource created correctly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 workspace, backend configured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terraform plan on CA group module with test user variable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shows azuread_group_member resource for test user with no errors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 Terratest</w:t>
            </w:r>
          </w:p>
        </w:tc>
        <w:tc>
          <w:tcPr>
            <w:tcW w:type="dxa" w:w="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TF-02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RBAC role assignment resource created correctly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 group module applied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terraform plan on RBAC module with test role + subscription scope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shows azurerm_role_assignment resource at correct scope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 Terratest</w:t>
            </w:r>
          </w:p>
        </w:tc>
        <w:tc>
          <w:tcPr>
            <w:tcW w:type="dxa" w:w="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TF-03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Removing user from Terraform removes RBAC assignment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present in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user from Terraform variables, run plan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shows destroy of role_assignment for that user 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w:t>
            </w:r>
          </w:p>
        </w:tc>
        <w:tc>
          <w:tcPr>
            <w:tcW w:type="dxa" w:w="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TF-04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Drift detection — manual change flagged on next plan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 applied, manual change made out-of-band in Entra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terraform plan without changes to config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detects drift and proposes corrective change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w:t>
            </w:r>
          </w:p>
        </w:tc>
        <w:tc>
          <w:tcPr>
            <w:tcW w:type="dxa" w:w="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9"/>
                <w:sz w:val="20"/>
                <w:szCs w:val="20"/>
              </w:rPr>
              <w:t xml:space="preserve">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TF-05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State lock prevents concurrent pipeline runs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Remote backend with state locking 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two pipeline runs simultaneously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 run fails with state lock error, first completes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DevOps / Terraform</w:t>
            </w:r>
          </w:p>
        </w:tc>
        <w:tc>
          <w:tcPr>
            <w:tcW w:type="dxa" w:w="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9"/>
                <w:sz w:val="20"/>
                <w:szCs w:val="20"/>
              </w:rPr>
              <w:t xml:space="preserve">Low</w:t>
            </w:r>
          </w:p>
        </w:tc>
      </w:tr>
    </w:tbl>
    <w:p>
      <w:pPr>
        <w:spacing w:after="80" w:before="80"/>
      </w:pPr>
      <w:r>
        <w:t xml:space="preserve"/>
      </w:r>
    </w:p>
    <w:p>
      <w:pPr>
        <w:spacing w:after="80" w:before="80"/>
      </w:pPr>
      <w:r>
        <w:t xml:space="preserve"/>
      </w:r>
    </w:p>
    <w:p>
      <w:pPr>
        <w:pStyle w:val="Heading2"/>
      </w:pPr>
      <w:r>
        <w:rPr>
          <w:rFonts w:ascii="Arial" w:cs="Arial" w:eastAsia="Arial" w:hAnsi="Arial"/>
          <w:b/>
          <w:bCs/>
          <w:color w:val="2E75B6"/>
          <w:sz w:val="26"/>
          <w:szCs w:val="26"/>
        </w:rPr>
        <w:t xml:space="preserve">4.2 Compliance Scanner Tests</w:t>
      </w:r>
    </w:p>
    <w:p>
      <w:pPr>
        <w:spacing w:after="120" w:before="120"/>
      </w:pPr>
      <w:r>
        <w:rPr>
          <w:rFonts w:ascii="Arial" w:cs="Arial" w:eastAsia="Arial" w:hAnsi="Arial"/>
          <w:b w:val="false"/>
          <w:bCs w:val="false"/>
          <w:color w:val="000000"/>
          <w:sz w:val="20"/>
          <w:szCs w:val="20"/>
        </w:rPr>
        <w:t xml:space="preserve">These tests validate the scanner's ability to detect each category of drift and trigger the appropriate response. Tests should be executable against mock data (unit) and a live test tenant (integration).</w:t>
      </w:r>
    </w:p>
    <w:p>
      <w:pPr>
        <w:spacing w:after="80" w:before="8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400"/>
        <w:gridCol w:w="1600"/>
        <w:gridCol w:w="1600"/>
        <w:gridCol w:w="1600"/>
        <w:gridCol w:w="800"/>
        <w:gridCol w:w="1000"/>
        <w:gridCol w:w="8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Preconditions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Detects user with RBAC but not in CA group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assigned HS role directly, not via Terraform CA group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compliance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 flags user as non-compliant (Scenario 1 trigger)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Pester</w:t>
            </w:r>
          </w:p>
        </w:tc>
        <w:tc>
          <w:tcPr>
            <w:tcW w:type="dxa" w:w="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9"/>
                <w:sz w:val="20"/>
                <w:szCs w:val="20"/>
              </w:rPr>
              <w:t xml:space="preserve">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Detects manual CA group addition not in Terraform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manually added to CA group in Entra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scanner, compare Entra membership vs Terraform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detected, PR raised in CA group repo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Pester</w:t>
            </w:r>
          </w:p>
        </w:tc>
        <w:tc>
          <w:tcPr>
            <w:tcW w:type="dxa" w:w="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9"/>
                <w:sz w:val="20"/>
                <w:szCs w:val="20"/>
              </w:rPr>
              <w:t xml:space="preserve">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Detects CA group removal with active RBAC (HIGH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in CA group and has HS RBAC role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user from CA group manually, run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 flags high-risk condition, triggers remediation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Pester</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9C0006"/>
                <w:sz w:val="20"/>
                <w:szCs w:val="20"/>
              </w:rPr>
              <w:t xml:space="preserve">High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Large-scale drift triggers investigation 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users have mismatches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 bulk mismatch, run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 enters investigation mode, does NOT auto-remediate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Pester</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Variable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User with no HS roles auto-removed from CA group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in CA group, all RBAC roles removed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 raised to remove user from CA group in Terraform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Pester</w:t>
            </w:r>
          </w:p>
        </w:tc>
        <w:tc>
          <w:tcPr>
            <w:tcW w:type="dxa" w:w="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b/>
                <w:bCs/>
                <w:color w:val="375623"/>
                <w:sz w:val="20"/>
                <w:szCs w:val="20"/>
              </w:rPr>
              <w:t xml:space="preserve">Very 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SC-06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Compliant user produces no scanner 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in CA group via Terraform and has HS RBAC role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drift detected, no PR raised, no remediation triggered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Pester</w:t>
            </w:r>
          </w:p>
        </w:tc>
        <w:tc>
          <w:tcPr>
            <w:tcW w:type="dxa" w:w="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None</w:t>
            </w:r>
          </w:p>
        </w:tc>
      </w:tr>
    </w:tbl>
    <w:p>
      <w:pPr>
        <w:spacing w:after="80" w:before="80"/>
      </w:pPr>
      <w:r>
        <w:t xml:space="preserve"/>
      </w:r>
    </w:p>
    <w:p>
      <w:pPr>
        <w:spacing w:after="80" w:before="80"/>
      </w:pPr>
      <w:r>
        <w:t xml:space="preserve"/>
      </w:r>
    </w:p>
    <w:p>
      <w:pPr>
        <w:pStyle w:val="Heading2"/>
      </w:pPr>
      <w:r>
        <w:rPr>
          <w:rFonts w:ascii="Arial" w:cs="Arial" w:eastAsia="Arial" w:hAnsi="Arial"/>
          <w:b/>
          <w:bCs/>
          <w:color w:val="2E75B6"/>
          <w:sz w:val="26"/>
          <w:szCs w:val="26"/>
        </w:rPr>
        <w:t xml:space="preserve">4.3 Azure DevOps Pipeline Tests</w:t>
      </w:r>
    </w:p>
    <w:p>
      <w:pPr>
        <w:spacing w:after="120" w:before="120"/>
      </w:pPr>
      <w:r>
        <w:rPr>
          <w:rFonts w:ascii="Arial" w:cs="Arial" w:eastAsia="Arial" w:hAnsi="Arial"/>
          <w:b w:val="false"/>
          <w:bCs w:val="false"/>
          <w:color w:val="000000"/>
          <w:sz w:val="20"/>
          <w:szCs w:val="20"/>
        </w:rPr>
        <w:t xml:space="preserve">These tests validate pipeline trigger conditions, stage sequencing, approval gates, and the automated PR creation behaviour of the remediation pipeline.</w:t>
      </w:r>
    </w:p>
    <w:p>
      <w:pPr>
        <w:spacing w:after="80" w:before="8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400"/>
        <w:gridCol w:w="1600"/>
        <w:gridCol w:w="1600"/>
        <w:gridCol w:w="1600"/>
        <w:gridCol w:w="800"/>
        <w:gridCol w:w="1000"/>
        <w:gridCol w:w="8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Preconditions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PL-01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 pipeline runs terraform validate and plan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 branch with Terraform change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 PR against main branch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triggers, validate and plan stages complete, plan output posted as PR comment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DevOps</w:t>
            </w:r>
          </w:p>
        </w:tc>
        <w:tc>
          <w:tcPr>
            <w:tcW w:type="dxa" w:w="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PL-02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Apply only runs on merge to 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 approved and merged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 PR to 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stage runs and succeeds, state updated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DevOps</w:t>
            </w:r>
          </w:p>
        </w:tc>
        <w:tc>
          <w:tcPr>
            <w:tcW w:type="dxa" w:w="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9"/>
                <w:sz w:val="20"/>
                <w:szCs w:val="20"/>
              </w:rPr>
              <w:t xml:space="preserve">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PL-03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Pipeline fails fast on terraform validate 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HCL syntax introduced in branch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 PR with syntax 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stage fails, plan stage does not run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DevOps</w:t>
            </w:r>
          </w:p>
        </w:tc>
        <w:tc>
          <w:tcPr>
            <w:tcW w:type="dxa" w:w="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PL-04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Approval gate blocks apply without sign-off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Approval gate configured on apply stage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 to main without approving apply gate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stage pauses at gate, does not execute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DevOps</w:t>
            </w:r>
          </w:p>
        </w:tc>
        <w:tc>
          <w:tcPr>
            <w:tcW w:type="dxa" w:w="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PL-05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Remediation PR pipeline creates branch and PR automatically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 detects drift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remediation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branch created, Terraform file updated, PR raised in correct repo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DevOps / PowerShell</w:t>
            </w:r>
          </w:p>
        </w:tc>
        <w:tc>
          <w:tcPr>
            <w:tcW w:type="dxa" w:w="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9"/>
                <w:sz w:val="20"/>
                <w:szCs w:val="20"/>
              </w:rPr>
              <w:t xml:space="preserve">Low</w:t>
            </w:r>
          </w:p>
        </w:tc>
      </w:tr>
    </w:tbl>
    <w:p>
      <w:pPr>
        <w:spacing w:after="80" w:before="80"/>
      </w:pPr>
      <w:r>
        <w:t xml:space="preserve"/>
      </w:r>
    </w:p>
    <w:p>
      <w:pPr>
        <w:spacing w:after="80" w:before="80"/>
      </w:pPr>
      <w:r>
        <w:t xml:space="preserve"/>
      </w:r>
    </w:p>
    <w:p>
      <w:pPr>
        <w:pStyle w:val="Heading2"/>
      </w:pPr>
      <w:r>
        <w:rPr>
          <w:rFonts w:ascii="Arial" w:cs="Arial" w:eastAsia="Arial" w:hAnsi="Arial"/>
          <w:b/>
          <w:bCs/>
          <w:color w:val="2E75B6"/>
          <w:sz w:val="26"/>
          <w:szCs w:val="26"/>
        </w:rPr>
        <w:t xml:space="preserve">4.4 End-to-End Scenario Tests</w:t>
      </w:r>
    </w:p>
    <w:p>
      <w:pPr>
        <w:spacing w:after="120" w:before="120"/>
      </w:pPr>
      <w:r>
        <w:rPr>
          <w:rFonts w:ascii="Arial" w:cs="Arial" w:eastAsia="Arial" w:hAnsi="Arial"/>
          <w:b w:val="false"/>
          <w:bCs w:val="false"/>
          <w:color w:val="000000"/>
          <w:sz w:val="20"/>
          <w:szCs w:val="20"/>
        </w:rPr>
        <w:t xml:space="preserve">These tests exercise the full solution across all documented compliance scenarios. Each test should be executed in the test subscription with dedicated test users and verified using the compliance scanner as the final assertion.</w:t>
      </w:r>
    </w:p>
    <w:p>
      <w:pPr>
        <w:spacing w:after="80" w:before="8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400"/>
        <w:gridCol w:w="1600"/>
        <w:gridCol w:w="1600"/>
        <w:gridCol w:w="1600"/>
        <w:gridCol w:w="800"/>
        <w:gridCol w:w="1000"/>
        <w:gridCol w:w="8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Preconditions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E2E-01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Standard provisioning — user gains compliant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user exists, no existing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Raise PR to CA group repo — add user. 2. Approve &amp; apply. 3. Raise PR to RBAC repo — assign role. 4. Approve &amp; apply. 5. Run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in CA group and has RBAC role. Scanner confirms compliant. No drift.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 Azure DevOps</w:t>
            </w:r>
          </w:p>
        </w:tc>
        <w:tc>
          <w:tcPr>
            <w:tcW w:type="dxa" w:w="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E2E-02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Scenario 1 — RBAC before CA group auto-remediated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user has no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 RBAC role directly without adding to CA group. Run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 detects mismatch. Automation adds user to CA group. Re-run confirms compliant.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 Azure DevOps</w:t>
            </w:r>
          </w:p>
        </w:tc>
        <w:tc>
          <w:tcPr>
            <w:tcW w:type="dxa" w:w="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9"/>
                <w:sz w:val="20"/>
                <w:szCs w:val="20"/>
              </w:rPr>
              <w:t xml:space="preserve">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E2E-03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Scenario 3 — CA removed with RBAC active, remediated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user is compliant (CA + RBAC)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user from CA group manually in Entra. Run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High-risk condition flagged. Remediation re-adds user to CA group via PR.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 Azure DevOps</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9C0006"/>
                <w:sz w:val="20"/>
                <w:szCs w:val="20"/>
              </w:rPr>
              <w:t xml:space="preserve">High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E2E-04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Scenario 5 — Role revoked, CA group cleaned 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user is compliant (CA + RBAC)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all HS RBAC roles from user via Terraform. Apply. Run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Scanner raises PR to remove user from CA group. PR merged. User removed.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 Azure DevOps</w:t>
            </w:r>
          </w:p>
        </w:tc>
        <w:tc>
          <w:tcPr>
            <w:tcW w:type="dxa" w:w="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b/>
                <w:bCs/>
                <w:color w:val="375623"/>
                <w:sz w:val="20"/>
                <w:szCs w:val="20"/>
              </w:rPr>
              <w:t xml:space="preserve">Very 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E2E-05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access revocation — user removed from everything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user is fully compliant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user from RBAC repo and CA group repo. Apply both. Run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has no RBAC roles and is not in CA group. Scanner confirms clean state.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 Azure DevOps</w:t>
            </w:r>
          </w:p>
        </w:tc>
        <w:tc>
          <w:tcPr>
            <w:tcW w:type="dxa" w:w="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None</w:t>
            </w:r>
          </w:p>
        </w:tc>
      </w:tr>
    </w:tbl>
    <w:p>
      <w:pPr>
        <w:spacing w:after="80" w:before="80"/>
      </w:pPr>
      <w:r>
        <w:t xml:space="preserve"/>
      </w:r>
    </w:p>
    <w:p>
      <w:pPr>
        <w:spacing w:after="80" w:before="80"/>
      </w:pPr>
      <w:r>
        <w:t xml:space="preserve"/>
      </w:r>
    </w:p>
    <w:p>
      <w:pPr>
        <w:pStyle w:val="Heading1"/>
      </w:pPr>
      <w:r>
        <w:rPr>
          <w:rFonts w:ascii="Arial" w:cs="Arial" w:eastAsia="Arial" w:hAnsi="Arial"/>
          <w:b/>
          <w:bCs/>
          <w:color w:val="1F4E79"/>
          <w:sz w:val="32"/>
          <w:szCs w:val="32"/>
        </w:rPr>
        <w:t xml:space="preserve">5. Test Coverage Summary</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400"/>
        <w:gridCol w:w="1200"/>
        <w:gridCol w:w="28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Tests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Fully Automated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Partial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Manual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Terraform</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375623"/>
                <w:sz w:val="20"/>
                <w:szCs w:val="20"/>
              </w:rPr>
              <w:t xml:space="preserve">4</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7F6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Terratest or pipeline-based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Scanner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375623"/>
                <w:sz w:val="20"/>
                <w:szCs w:val="20"/>
              </w:rPr>
              <w:t xml:space="preserve">5</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7F6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Pester unit tests against mock/test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Pipeline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375623"/>
                <w:sz w:val="20"/>
                <w:szCs w:val="20"/>
              </w:rPr>
              <w:t xml:space="preserve">4</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7F6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ADO pipeline runs with test branches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End-to-End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375623"/>
                <w:sz w:val="20"/>
                <w:szCs w:val="20"/>
              </w:rPr>
              <w:t xml:space="preserve">0</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7F600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subscription required; some human steps</w:t>
            </w:r>
          </w:p>
        </w:tc>
      </w:tr>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21</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13</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8</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0</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before="80"/>
      </w:pPr>
      <w:r>
        <w:t xml:space="preserve"/>
      </w:r>
    </w:p>
    <w:p>
      <w:pPr>
        <w:pStyle w:val="Heading1"/>
      </w:pPr>
      <w:r>
        <w:rPr>
          <w:rFonts w:ascii="Arial" w:cs="Arial" w:eastAsia="Arial" w:hAnsi="Arial"/>
          <w:b/>
          <w:bCs/>
          <w:color w:val="1F4E79"/>
          <w:sz w:val="32"/>
          <w:szCs w:val="32"/>
        </w:rPr>
        <w:t xml:space="preserve">6. Acceptance Criteria</w:t>
      </w:r>
    </w:p>
    <w:p>
      <w:pPr>
        <w:spacing w:after="120" w:before="120"/>
      </w:pPr>
      <w:r>
        <w:rPr>
          <w:rFonts w:ascii="Arial" w:cs="Arial" w:eastAsia="Arial" w:hAnsi="Arial"/>
          <w:b w:val="false"/>
          <w:bCs w:val="false"/>
          <w:color w:val="000000"/>
          <w:sz w:val="20"/>
          <w:szCs w:val="20"/>
        </w:rPr>
        <w:t xml:space="preserve">The solution is considered ready for production deployment when all of the following conditions are met:</w:t>
      </w:r>
    </w:p>
    <w:p>
      <w:pPr>
        <w:spacing w:after="80" w:before="80"/>
      </w:pPr>
      <w:r>
        <w:t xml:space="preserve"/>
      </w:r>
    </w:p>
    <w:p>
      <w:pPr>
        <w:pStyle w:val="ListParagraph"/>
        <w:numPr>
          <w:ilvl w:val="0"/>
          <w:numId w:val="2"/>
        </w:numPr>
        <w:spacing w:after="60" w:before="60"/>
      </w:pPr>
      <w:r>
        <w:rPr>
          <w:rFonts w:ascii="Arial" w:cs="Arial" w:eastAsia="Arial" w:hAnsi="Arial"/>
          <w:b w:val="false"/>
          <w:bCs w:val="false"/>
          <w:sz w:val="20"/>
          <w:szCs w:val="20"/>
        </w:rPr>
        <w:t xml:space="preserve">All Terraform unit tests (TF-01 to TF-05) pass with no unexpected plan output</w:t>
      </w:r>
    </w:p>
    <w:p>
      <w:pPr>
        <w:pStyle w:val="ListParagraph"/>
        <w:numPr>
          <w:ilvl w:val="0"/>
          <w:numId w:val="2"/>
        </w:numPr>
        <w:spacing w:after="60" w:before="60"/>
      </w:pPr>
      <w:r>
        <w:rPr>
          <w:rFonts w:ascii="Arial" w:cs="Arial" w:eastAsia="Arial" w:hAnsi="Arial"/>
          <w:b w:val="false"/>
          <w:bCs w:val="false"/>
          <w:sz w:val="20"/>
          <w:szCs w:val="20"/>
        </w:rPr>
        <w:t xml:space="preserve">All scanner tests (SC-01 to SC-06) pass, including the high-risk scenario (SC-03)</w:t>
      </w:r>
    </w:p>
    <w:p>
      <w:pPr>
        <w:pStyle w:val="ListParagraph"/>
        <w:numPr>
          <w:ilvl w:val="0"/>
          <w:numId w:val="2"/>
        </w:numPr>
        <w:spacing w:after="60" w:before="60"/>
      </w:pPr>
      <w:r>
        <w:rPr>
          <w:rFonts w:ascii="Arial" w:cs="Arial" w:eastAsia="Arial" w:hAnsi="Arial"/>
          <w:b w:val="false"/>
          <w:bCs w:val="false"/>
          <w:sz w:val="20"/>
          <w:szCs w:val="20"/>
        </w:rPr>
        <w:t xml:space="preserve">All pipeline tests (PL-01 to PL-05) pass, including approval gate validation</w:t>
      </w:r>
    </w:p>
    <w:p>
      <w:pPr>
        <w:pStyle w:val="ListParagraph"/>
        <w:numPr>
          <w:ilvl w:val="0"/>
          <w:numId w:val="2"/>
        </w:numPr>
        <w:spacing w:after="60" w:before="60"/>
      </w:pPr>
      <w:r>
        <w:rPr>
          <w:rFonts w:ascii="Arial" w:cs="Arial" w:eastAsia="Arial" w:hAnsi="Arial"/>
          <w:b w:val="false"/>
          <w:bCs w:val="false"/>
          <w:sz w:val="20"/>
          <w:szCs w:val="20"/>
        </w:rPr>
        <w:t xml:space="preserve">All end-to-end tests (E2E-01 to E2E-05) produce the expected final state</w:t>
      </w:r>
    </w:p>
    <w:p>
      <w:pPr>
        <w:pStyle w:val="ListParagraph"/>
        <w:numPr>
          <w:ilvl w:val="0"/>
          <w:numId w:val="2"/>
        </w:numPr>
        <w:spacing w:after="60" w:before="60"/>
      </w:pPr>
      <w:r>
        <w:rPr>
          <w:rFonts w:ascii="Arial" w:cs="Arial" w:eastAsia="Arial" w:hAnsi="Arial"/>
          <w:b w:val="false"/>
          <w:bCs w:val="false"/>
          <w:sz w:val="20"/>
          <w:szCs w:val="20"/>
        </w:rPr>
        <w:t xml:space="preserve">No test produces unintended side-effects in the test subscription</w:t>
      </w:r>
    </w:p>
    <w:p>
      <w:pPr>
        <w:pStyle w:val="ListParagraph"/>
        <w:numPr>
          <w:ilvl w:val="0"/>
          <w:numId w:val="2"/>
        </w:numPr>
        <w:spacing w:after="60" w:before="60"/>
      </w:pPr>
      <w:r>
        <w:rPr>
          <w:rFonts w:ascii="Arial" w:cs="Arial" w:eastAsia="Arial" w:hAnsi="Arial"/>
          <w:b w:val="false"/>
          <w:bCs w:val="false"/>
          <w:sz w:val="20"/>
          <w:szCs w:val="20"/>
        </w:rPr>
        <w:t xml:space="preserve">Scanner correctly enters investigation mode (SC-04) and does NOT auto-remediate bulk drift</w:t>
      </w:r>
    </w:p>
    <w:p>
      <w:pPr>
        <w:pStyle w:val="ListParagraph"/>
        <w:numPr>
          <w:ilvl w:val="0"/>
          <w:numId w:val="2"/>
        </w:numPr>
        <w:spacing w:after="60" w:before="60"/>
      </w:pPr>
      <w:r>
        <w:rPr>
          <w:rFonts w:ascii="Arial" w:cs="Arial" w:eastAsia="Arial" w:hAnsi="Arial"/>
          <w:b w:val="false"/>
          <w:bCs w:val="false"/>
          <w:sz w:val="20"/>
          <w:szCs w:val="20"/>
        </w:rPr>
        <w:t xml:space="preserve">Terraform state remains consistent after every apply — no orphaned resources</w:t>
      </w:r>
    </w:p>
    <w:p>
      <w:pPr>
        <w:spacing w:after="80" w:before="80"/>
      </w:pPr>
      <w:r>
        <w:t xml:space="preserve"/>
      </w:r>
    </w:p>
    <w:p>
      <w:pPr>
        <w:pStyle w:val="Heading1"/>
      </w:pPr>
      <w:r>
        <w:rPr>
          <w:rFonts w:ascii="Arial" w:cs="Arial" w:eastAsia="Arial" w:hAnsi="Arial"/>
          <w:b/>
          <w:bCs/>
          <w:color w:val="1F4E79"/>
          <w:sz w:val="32"/>
          <w:szCs w:val="32"/>
        </w:rPr>
        <w:t xml:space="preserve">7. Out of Scope</w:t>
      </w:r>
    </w:p>
    <w:p>
      <w:pPr>
        <w:pStyle w:val="ListParagraph"/>
        <w:numPr>
          <w:ilvl w:val="0"/>
          <w:numId w:val="2"/>
        </w:numPr>
        <w:spacing w:after="60" w:before="60"/>
      </w:pPr>
      <w:r>
        <w:rPr>
          <w:rFonts w:ascii="Arial" w:cs="Arial" w:eastAsia="Arial" w:hAnsi="Arial"/>
          <w:b w:val="false"/>
          <w:bCs w:val="false"/>
          <w:sz w:val="20"/>
          <w:szCs w:val="20"/>
        </w:rPr>
        <w:t xml:space="preserve">Performance / load testing of the compliance scanner</w:t>
      </w:r>
    </w:p>
    <w:p>
      <w:pPr>
        <w:pStyle w:val="ListParagraph"/>
        <w:numPr>
          <w:ilvl w:val="0"/>
          <w:numId w:val="2"/>
        </w:numPr>
        <w:spacing w:after="60" w:before="60"/>
      </w:pPr>
      <w:r>
        <w:rPr>
          <w:rFonts w:ascii="Arial" w:cs="Arial" w:eastAsia="Arial" w:hAnsi="Arial"/>
          <w:b w:val="false"/>
          <w:bCs w:val="false"/>
          <w:sz w:val="20"/>
          <w:szCs w:val="20"/>
        </w:rPr>
        <w:t xml:space="preserve">Testing of Conditional Access policy rules themselves (covered by separate CA policy testing)</w:t>
      </w:r>
    </w:p>
    <w:p>
      <w:pPr>
        <w:pStyle w:val="ListParagraph"/>
        <w:numPr>
          <w:ilvl w:val="0"/>
          <w:numId w:val="2"/>
        </w:numPr>
        <w:spacing w:after="60" w:before="60"/>
      </w:pPr>
      <w:r>
        <w:rPr>
          <w:rFonts w:ascii="Arial" w:cs="Arial" w:eastAsia="Arial" w:hAnsi="Arial"/>
          <w:b w:val="false"/>
          <w:bCs w:val="false"/>
          <w:sz w:val="20"/>
          <w:szCs w:val="20"/>
        </w:rPr>
        <w:t xml:space="preserve">Production subscription access — all tests use isolated test resources</w:t>
      </w:r>
    </w:p>
    <w:p>
      <w:pPr>
        <w:pStyle w:val="ListParagraph"/>
        <w:numPr>
          <w:ilvl w:val="0"/>
          <w:numId w:val="2"/>
        </w:numPr>
        <w:spacing w:after="60" w:before="60"/>
      </w:pPr>
      <w:r>
        <w:rPr>
          <w:rFonts w:ascii="Arial" w:cs="Arial" w:eastAsia="Arial" w:hAnsi="Arial"/>
          <w:b w:val="false"/>
          <w:bCs w:val="false"/>
          <w:sz w:val="20"/>
          <w:szCs w:val="20"/>
        </w:rPr>
        <w:t xml:space="preserve">Disaster recovery or backup/restore of Terraform state</w:t>
      </w:r>
    </w:p>
    <w:sectPr>
      <w:headerReference w:type="default" r:id="rId7"/>
      <w:footerReference w:type="default" r:id="rId8"/>
      <w:pgSz w:w="21000" w:h="29700" w:orient="portrait"/>
      <w:pgMar w:top="1000" w:right="800" w:bottom="10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120"/>
    </w:pPr>
    <w:r>
      <w:rPr>
        <w:rFonts w:ascii="Arial" w:cs="Arial" w:eastAsia="Arial" w:hAnsi="Arial"/>
        <w:color w:val="808080"/>
        <w:sz w:val="16"/>
        <w:szCs w:val="16"/>
      </w:rPr>
      <w:t xml:space="preserve">Landing Zone — High Secure Access Control</w:t>
    </w:r>
    <w:r>
      <w:rPr>
        <w:rFonts w:ascii="Arial" w:cs="Arial" w:eastAsia="Arial" w:hAnsi="Arial"/>
        <w:color w:val="808080"/>
        <w:sz w:val="16"/>
        <w:szCs w:val="16"/>
      </w:rPr>
      <w:t xml:space="preserve">	Page </w:t>
    </w:r>
    <w:r>
      <w:rPr>
        <w:rFonts w:ascii="Arial" w:cs="Arial" w:eastAsia="Arial" w:hAnsi="Arial"/>
        <w:color w:val="808080"/>
        <w:sz w:val="16"/>
        <w:szCs w:val="16"/>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b/>
        <w:bCs/>
        <w:color w:val="1F4E79"/>
        <w:sz w:val="22"/>
        <w:szCs w:val="22"/>
      </w:rPr>
      <w:t xml:space="preserve">CA Group Automation — Test Plan</w:t>
    </w:r>
    <w:r>
      <w:rPr>
        <w:rFonts w:ascii="Arial" w:cs="Arial" w:eastAsia="Arial" w:hAnsi="Arial"/>
        <w:color w:val="808080"/>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2026-03-19T10:35:25.407Z</dcterms:created>
  <dcterms:modified xsi:type="dcterms:W3CDTF">2026-03-19T10:35:25.408Z</dcterms:modified>
</cp:coreProperties>
</file>

<file path=docProps/custom.xml><?xml version="1.0" encoding="utf-8"?>
<Properties xmlns="http://schemas.openxmlformats.org/officeDocument/2006/custom-properties" xmlns:vt="http://schemas.openxmlformats.org/officeDocument/2006/docPropsVTypes"/>
</file>