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52E41" w:rsidRPr="001A6E0B" w:rsidRDefault="00752E41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52E41" w:rsidRPr="001A6E0B" w:rsidRDefault="00752E41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52E41" w:rsidRPr="001A6E0B" w:rsidRDefault="00752E41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752E41" w:rsidRPr="001A6E0B" w:rsidRDefault="00752E41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752E41" w:rsidRPr="001A6E0B" w:rsidRDefault="00752E41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    <v:textbox inset="36pt,14.4pt,36pt,36pt">
                        <w:txbxContent>
                          <w:p w:rsidR="00BA17BA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BA17BA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proofErr w:type="spellStart"/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1A6E0B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eastAsia="it-IT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Titolo1"/>
      </w:pPr>
      <w:r w:rsidRPr="00F1790D">
        <w:lastRenderedPageBreak/>
        <w:t>Descrizione del Problema</w:t>
      </w:r>
    </w:p>
    <w:p w14:paraId="7C3698F5" w14:textId="77777777" w:rsidR="003A6B82" w:rsidRDefault="00C41826" w:rsidP="00FE5697"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77777777" w:rsidR="003A6B82" w:rsidRDefault="003A6B82" w:rsidP="00FE5697">
      <w:r>
        <w:t>Ogni voce  è descritto da un nome e da un tipo (stringa/numero/</w:t>
      </w:r>
      <w:proofErr w:type="spellStart"/>
      <w:r>
        <w:t>boolean</w:t>
      </w:r>
      <w:proofErr w:type="spellEnd"/>
      <w:r>
        <w:t xml:space="preserve">/data) e può contenere un valore (dello stesso tipo del suo tipo). Una voce può contenere un </w:t>
      </w:r>
      <w:r w:rsidR="00016E3B">
        <w:t>valore solo se non appartiene a</w:t>
      </w:r>
      <w:r>
        <w:t xml:space="preserve"> un modello di evento. Ogni evento </w:t>
      </w:r>
      <w:r w:rsidR="00016E3B">
        <w:t>include</w:t>
      </w:r>
      <w:r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FE5697">
      <w:r w:rsidRPr="00C41826">
        <w:t>Tipologie di filtro:</w:t>
      </w:r>
    </w:p>
    <w:p w14:paraId="32A8C28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016E3B">
        <w:t>.</w:t>
      </w:r>
    </w:p>
    <w:p w14:paraId="1DDF52E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Paragrafoelenco"/>
        <w:numPr>
          <w:ilvl w:val="0"/>
          <w:numId w:val="2"/>
        </w:numPr>
        <w:sectPr w:rsidR="003A6B82" w:rsidSect="003A6B82">
          <w:footerReference w:type="default" r:id="rId10"/>
          <w:pgSz w:w="16838" w:h="11906" w:orient="landscape"/>
          <w:pgMar w:top="1134" w:right="1134" w:bottom="1134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Titolo1"/>
      </w:pPr>
      <w:r w:rsidRPr="00F1790D">
        <w:lastRenderedPageBreak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3A6B82" w:rsidRPr="003A6B82" w14:paraId="291B94E2" w14:textId="77777777" w:rsidTr="003A6B82">
        <w:tc>
          <w:tcPr>
            <w:tcW w:w="3402" w:type="dxa"/>
            <w:vAlign w:val="center"/>
          </w:tcPr>
          <w:p w14:paraId="48FDC1D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</w:tcPr>
          <w:p w14:paraId="4A0125FF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6A1377F" w14:textId="77777777" w:rsidTr="00EF0E10"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22B758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Eliminazione di un modello</w:t>
            </w:r>
          </w:p>
        </w:tc>
        <w:tc>
          <w:tcPr>
            <w:tcW w:w="3402" w:type="dxa"/>
          </w:tcPr>
          <w:p w14:paraId="78476957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Operazione che permette l'eliminazione di un modello </w:t>
            </w:r>
            <w:r w:rsidRPr="003A6B82">
              <w:rPr>
                <w:sz w:val="24"/>
                <w:szCs w:val="24"/>
              </w:rPr>
              <w:lastRenderedPageBreak/>
              <w:t>all'interno del sistema, possibile solo se non esistono eventi descritti da tale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3A6B82" w:rsidRPr="003A6B82" w14:paraId="0D05FFF8" w14:textId="77777777" w:rsidTr="00016E3B">
        <w:tc>
          <w:tcPr>
            <w:tcW w:w="3402" w:type="dxa"/>
            <w:vAlign w:val="center"/>
          </w:tcPr>
          <w:p w14:paraId="6887781A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</w:tcPr>
          <w:p w14:paraId="30176838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</w:t>
            </w:r>
            <w:r w:rsidRPr="003A6B82">
              <w:rPr>
                <w:sz w:val="24"/>
                <w:szCs w:val="24"/>
              </w:rPr>
              <w:lastRenderedPageBreak/>
              <w:t>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D30B65E" w14:textId="77777777" w:rsidTr="00016E3B">
        <w:tc>
          <w:tcPr>
            <w:tcW w:w="3402" w:type="dxa"/>
            <w:vAlign w:val="center"/>
          </w:tcPr>
          <w:p w14:paraId="451BBDB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</w:tcPr>
          <w:p w14:paraId="5449C5A9" w14:textId="77777777" w:rsidR="003A6B82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6B82" w:rsidRPr="003A6B82" w14:paraId="0FEBAD38" w14:textId="77777777" w:rsidTr="00016E3B">
        <w:tc>
          <w:tcPr>
            <w:tcW w:w="3402" w:type="dxa"/>
            <w:vAlign w:val="center"/>
          </w:tcPr>
          <w:p w14:paraId="2168A7A2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</w:tcPr>
          <w:p w14:paraId="46F3BECE" w14:textId="3D1B30BF" w:rsidR="003A6B82" w:rsidRPr="003A6B82" w:rsidRDefault="00752E41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="003A6B82" w:rsidRPr="003A6B82">
              <w:rPr>
                <w:sz w:val="24"/>
                <w:szCs w:val="24"/>
              </w:rPr>
              <w:t xml:space="preserve"> di eventi che soddisfano determinati criteri di ricerca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Attributo del modello di un evento (di tipo testo, numerico </w:t>
            </w:r>
            <w:r w:rsidRPr="003A6B82">
              <w:rPr>
                <w:sz w:val="24"/>
                <w:szCs w:val="24"/>
              </w:rPr>
              <w:lastRenderedPageBreak/>
              <w:t>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Titolo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Titolo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Titolo1"/>
      </w:pPr>
      <w:r>
        <w:rPr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Titolo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Titolo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Titolo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design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r w:rsidR="005A4EAE">
        <w:rPr>
          <w:i/>
        </w:rPr>
        <w:t>IVoce</w:t>
      </w:r>
      <w:proofErr w:type="spell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77777777" w:rsidR="000B3C62" w:rsidRPr="0099786A" w:rsidRDefault="003A6B82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r w:rsidR="00C92A49" w:rsidRPr="00C92A49">
        <w:rPr>
          <w:i/>
        </w:rPr>
        <w:t>IFiltro</w:t>
      </w:r>
      <w:proofErr w:type="spell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in quanto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77777777" w:rsidR="000B3C62" w:rsidRDefault="008E360F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7F849BB2" wp14:editId="1D5602E9">
            <wp:simplePos x="0" y="0"/>
            <wp:positionH relativeFrom="column">
              <wp:posOffset>4445</wp:posOffset>
            </wp:positionH>
            <wp:positionV relativeFrom="paragraph">
              <wp:posOffset>956945</wp:posOffset>
            </wp:positionV>
            <wp:extent cx="9077960" cy="3257550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r w:rsidR="005E1388" w:rsidRPr="005E1388">
        <w:rPr>
          <w:i/>
        </w:rPr>
        <w:t>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5E1388">
        <w:t xml:space="preserve"> attraverso l’</w:t>
      </w:r>
      <w:proofErr w:type="spellStart"/>
      <w:r w:rsidR="005E1388">
        <w:t>ovveride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5F77E274" w14:textId="77777777" w:rsidR="008E360F" w:rsidRPr="0099786A" w:rsidRDefault="008E360F" w:rsidP="00FD2B62">
      <w:pPr>
        <w:jc w:val="both"/>
      </w:pPr>
    </w:p>
    <w:sectPr w:rsidR="008E360F" w:rsidRPr="0099786A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586755" w:rsidRDefault="00586755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586755" w:rsidRDefault="00586755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326992"/>
      <w:docPartObj>
        <w:docPartGallery w:val="Page Numbers (Bottom of Page)"/>
        <w:docPartUnique/>
      </w:docPartObj>
    </w:sdtPr>
    <w:sdtEndPr/>
    <w:sdtContent>
      <w:p w14:paraId="78C21A8F" w14:textId="77777777" w:rsidR="00752E41" w:rsidRDefault="00752E41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52E41" w:rsidRDefault="00752E4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70676" w:rsidRPr="00570676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B5AB324" w14:textId="77777777" w:rsidR="00752E41" w:rsidRDefault="00752E4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70676" w:rsidRPr="00570676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586755" w:rsidRDefault="00586755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586755" w:rsidRDefault="00586755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52E41"/>
    <w:rsid w:val="008E360F"/>
    <w:rsid w:val="0099786A"/>
    <w:rsid w:val="00A174DB"/>
    <w:rsid w:val="00A67893"/>
    <w:rsid w:val="00A96D66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D49E-A498-4371-AA07-65F90DD7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Cem</cp:lastModifiedBy>
  <cp:revision>20</cp:revision>
  <dcterms:created xsi:type="dcterms:W3CDTF">2014-10-29T14:23:00Z</dcterms:created>
  <dcterms:modified xsi:type="dcterms:W3CDTF">2014-11-04T16:22:00Z</dcterms:modified>
</cp:coreProperties>
</file>