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005CA9"/>
          <w:spacing w:val="60"/>
          <w:sz w:val="20"/>
          <w:szCs w:val="20"/>
        </w:rPr>
        <w:t xml:space="preserve">CAIXA ECONÔMICA FEDERAL</w:t>
      </w:r>
    </w:p>
    <w:p>
      <w:pPr>
        <w:pBdr>
          <w:bottom w:val="single" w:color="F39200" w:sz="24" w:space="6"/>
        </w:pBdr>
        <w:spacing w:after="600" w:before="0"/>
      </w:pPr>
      <w:r>
        <w:rPr>
          <w:color w:val="5B6B7B"/>
          <w:sz w:val="18"/>
          <w:szCs w:val="18"/>
        </w:rPr>
        <w:t xml:space="preserve">Arquitetura de Soluções · AWS</w:t>
      </w:r>
    </w:p>
    <w:p>
      <w:pPr>
        <w:spacing w:after="120"/>
      </w:pPr>
      <w:r>
        <w:rPr>
          <w:b/>
          <w:bCs/>
          <w:color w:val="0B2545"/>
          <w:sz w:val="60"/>
          <w:szCs w:val="60"/>
        </w:rPr>
        <w:t xml:space="preserve">Portal de Consulta Judicial</w:t>
      </w:r>
    </w:p>
    <w:p>
      <w:pPr>
        <w:spacing w:after="400"/>
      </w:pPr>
      <w:r>
        <w:rPr>
          <w:color w:val="005CA9"/>
          <w:sz w:val="36"/>
          <w:szCs w:val="36"/>
        </w:rPr>
        <w:t xml:space="preserve">Proposta Arquitetural</w:t>
      </w:r>
    </w:p>
    <w:p>
      <w:pPr>
        <w:spacing w:after="700" w:line="320"/>
      </w:pPr>
      <w:r>
        <w:rPr>
          <w:color w:val="33475B"/>
          <w:sz w:val="24"/>
          <w:szCs w:val="24"/>
        </w:rPr>
        <w:t xml:space="preserve">Consulta de saldo, processos e contas judiciais a partir da base negocial da Caixa (DB2 z/OS), servida com alta performance em ambiente AWS.</w:t>
      </w:r>
    </w:p>
    <w:p>
      <w:pPr>
        <w:pBdr>
          <w:left w:val="single" w:color="F39200" w:sz="24" w:space="10"/>
        </w:pBdr>
        <w:shd w:fill="FFF6E5" w:color="auto" w:val="clear"/>
        <w:spacing w:after="200" w:before="200" w:line="288"/>
        <w:ind w:left="200" w:right="200"/>
      </w:pPr>
      <w:r>
        <w:rPr>
          <w:b/>
          <w:bCs/>
          <w:color w:val="0B2545"/>
          <w:sz w:val="20"/>
          <w:szCs w:val="20"/>
        </w:rPr>
        <w:t xml:space="preserve">Status: PROPOSTA — sujeita a validação.</w:t>
      </w:r>
      <w:r>
        <w:rPr>
          <w:sz w:val="20"/>
          <w:szCs w:val="20"/>
        </w:rPr>
        <w:t xml:space="preserve"> Este documento apresenta uma proposta de arquitetura para discussão. As decisões aqui descritas </w:t>
      </w:r>
      <w:r>
        <w:rPr>
          <w:b/>
          <w:bCs/>
          <w:color w:val="0B2545"/>
          <w:sz w:val="20"/>
          <w:szCs w:val="20"/>
        </w:rPr>
        <w:t xml:space="preserve">ainda serão avaliadas pelo arquiteto AWS</w:t>
      </w:r>
      <w:r>
        <w:rPr>
          <w:sz w:val="20"/>
          <w:szCs w:val="20"/>
        </w:rPr>
        <w:t xml:space="preserve">, que verificará se esta é a melhor abordagem para o contexto da Caixa. Serviços, padrões e dimensionamentos podem ser ajustados após essa revisão.</w:t>
      </w:r>
    </w:p>
    <w:p>
      <w:pPr>
        <w:spacing w:before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5B6B7B"/>
                <w:spacing w:val="30"/>
                <w:sz w:val="16"/>
                <w:szCs w:val="16"/>
              </w:rPr>
              <w:t xml:space="preserve">CLIENTE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color w:val="0B2545"/>
                <w:sz w:val="21"/>
                <w:szCs w:val="21"/>
              </w:rPr>
              <w:t xml:space="preserve">Caixa Econômica Federal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5B6B7B"/>
                <w:spacing w:val="30"/>
                <w:sz w:val="16"/>
                <w:szCs w:val="16"/>
              </w:rPr>
              <w:t xml:space="preserve">PROJETO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color w:val="0B2545"/>
                <w:sz w:val="21"/>
                <w:szCs w:val="21"/>
              </w:rPr>
              <w:t xml:space="preserve">Portal de Consulta Judicial (SIGSJ)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5B6B7B"/>
                <w:spacing w:val="30"/>
                <w:sz w:val="16"/>
                <w:szCs w:val="16"/>
              </w:rPr>
              <w:t xml:space="preserve">DOCUMENTO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color w:val="0B2545"/>
                <w:sz w:val="21"/>
                <w:szCs w:val="21"/>
              </w:rPr>
              <w:t xml:space="preserve">Proposta Arquitetural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5B6B7B"/>
                <w:spacing w:val="30"/>
                <w:sz w:val="16"/>
                <w:szCs w:val="16"/>
              </w:rPr>
              <w:t xml:space="preserve">VERSÃO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color w:val="0B2545"/>
                <w:sz w:val="21"/>
                <w:szCs w:val="21"/>
              </w:rPr>
              <w:t xml:space="preserve">0.1 (proposta) — 22/10/2026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5B6B7B"/>
                <w:spacing w:val="30"/>
                <w:sz w:val="16"/>
                <w:szCs w:val="16"/>
              </w:rPr>
              <w:t xml:space="preserve">STATUS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b/>
                <w:bCs/>
                <w:color w:val="B86E00"/>
                <w:sz w:val="21"/>
                <w:szCs w:val="21"/>
              </w:rPr>
              <w:t xml:space="preserve">Proposta — aguardando validação do arquiteto AWS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5B6B7B"/>
                <w:spacing w:val="30"/>
                <w:sz w:val="16"/>
                <w:szCs w:val="16"/>
              </w:rPr>
              <w:t xml:space="preserve">CLASSIFICAÇÃO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single" w:color="D5DDE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0"/>
            </w:tcMar>
          </w:tcPr>
          <w:p>
            <w:r>
              <w:rPr>
                <w:b w:val="false"/>
                <w:bCs w:val="false"/>
                <w:color w:val="0B2545"/>
                <w:sz w:val="21"/>
                <w:szCs w:val="21"/>
              </w:rPr>
              <w:t xml:space="preserve">Uso interno / Confidencial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  <w:pageBreakBefore/>
      </w:pPr>
      <w:r>
        <w:t xml:space="preserve">Controle de Versão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300"/>
        <w:gridCol w:w="5138"/>
        <w:gridCol w:w="1700"/>
      </w:tblGrid>
      <w:tr>
        <w:trPr>
          <w:tblHeader/>
        </w:trPr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5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0.1 (proposta)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22/10/2026</w:t>
            </w:r>
          </w:p>
        </w:tc>
        <w:tc>
          <w:tcPr>
            <w:tcW w:type="dxa" w:w="51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Proposta inicial — arquitetura, decisões, modelo de dados e exemplos de código. Aguardando validação do arquiteto AWS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Arquitetura</w:t>
            </w:r>
          </w:p>
        </w:tc>
      </w:tr>
    </w:tbl>
    <w:p>
      <w:pPr>
        <w:pStyle w:val="Heading2"/>
        <w:spacing w:before="240"/>
      </w:pPr>
      <w:r>
        <w:t xml:space="preserve">Validação e Aprovações</w:t>
      </w:r>
    </w:p>
    <w:p>
      <w:pPr>
        <w:pBdr>
          <w:left w:val="single" w:color="005CA9" w:sz="24" w:space="10"/>
        </w:pBdr>
        <w:shd w:fill="EAF2FB" w:color="auto" w:val="clear"/>
        <w:spacing w:after="200" w:before="200" w:line="288"/>
        <w:ind w:left="200" w:right="200"/>
      </w:pPr>
      <w:r>
        <w:rPr>
          <w:sz w:val="20"/>
          <w:szCs w:val="20"/>
        </w:rPr>
        <w:t xml:space="preserve">A aprovação desta proposta depende da validação técnica do </w:t>
      </w:r>
      <w:r>
        <w:rPr>
          <w:b/>
          <w:bCs/>
          <w:color w:val="0B2545"/>
          <w:sz w:val="20"/>
          <w:szCs w:val="20"/>
        </w:rPr>
        <w:t xml:space="preserve">arquiteto AWS</w:t>
      </w:r>
      <w:r>
        <w:rPr>
          <w:sz w:val="20"/>
          <w:szCs w:val="20"/>
        </w:rPr>
        <w:t xml:space="preserve">, que pode recomendar ajustes antes do aceite final.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000"/>
        <w:gridCol w:w="1700"/>
        <w:gridCol w:w="1938"/>
        <w:gridCol w:w="1300"/>
      </w:tblGrid>
      <w:tr>
        <w:trPr>
          <w:tblHeader/>
        </w:trPr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Parecer</w:t>
            </w:r>
          </w:p>
        </w:tc>
        <w:tc>
          <w:tcPr>
            <w:tcW w:type="dxa" w:w="1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rPr>
          <w:trHeight w:val="560" w:hRule="atLeast"/>
        </w:trPr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0B2545"/>
                <w:sz w:val="19"/>
                <w:szCs w:val="19"/>
              </w:rPr>
              <w:t xml:space="preserve">Arquiteto AWS (validação)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trHeight w:val="560" w:hRule="atLeast"/>
        </w:trPr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Arquiteto de Soluções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trHeight w:val="560" w:hRule="atLeast"/>
        </w:trPr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Líder Técnico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trHeight w:val="560" w:hRule="atLeast"/>
        </w:trPr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Gestor do Produto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trHeight w:val="560" w:hRule="atLeast"/>
        </w:trPr>
        <w:tc>
          <w:tcPr>
            <w:tcW w:type="dxa" w:w="2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Segurança da Informação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93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1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pPr>
        <w:pageBreakBefore/>
        <w:spacing w:after="240"/>
      </w:pPr>
      <w:r>
        <w:rPr>
          <w:b/>
          <w:bCs/>
          <w:color w:val="0B2545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 w:before="480"/>
      </w:pPr>
      <w:r>
        <w:rPr>
          <w:b/>
          <w:bCs/>
          <w:color w:val="0B2545"/>
          <w:sz w:val="28"/>
          <w:szCs w:val="28"/>
        </w:rPr>
        <w:t xml:space="preserve">Índice de Figuras</w:t>
      </w:r>
    </w:p>
    <w:p>
      <w:pPr>
        <w:spacing w:after="80"/>
      </w:pPr>
      <w:r>
        <w:rPr>
          <w:b/>
          <w:bCs/>
          <w:color w:val="0B2545"/>
        </w:rPr>
        <w:t xml:space="preserve">Figura 1</w:t>
      </w:r>
      <w:r>
        <w:t xml:space="preserve"> — Visão geral da arquitetura (ambientes Caixa e AWS)</w:t>
      </w:r>
    </w:p>
    <w:p>
      <w:pPr>
        <w:spacing w:after="80"/>
      </w:pPr>
      <w:r>
        <w:rPr>
          <w:b/>
          <w:bCs/>
          <w:color w:val="0B2545"/>
        </w:rPr>
        <w:t xml:space="preserve">Figura 2</w:t>
      </w:r>
      <w:r>
        <w:t xml:space="preserve"> — Diagrama de sequência: fluxo de carga diária</w:t>
      </w:r>
    </w:p>
    <w:p>
      <w:pPr>
        <w:spacing w:after="80"/>
      </w:pPr>
      <w:r>
        <w:rPr>
          <w:b/>
          <w:bCs/>
          <w:color w:val="0B2545"/>
        </w:rPr>
        <w:t xml:space="preserve">Figura 3</w:t>
      </w:r>
      <w:r>
        <w:t xml:space="preserve"> — Diagrama de sequência: fluxo de consulta do usuário</w:t>
      </w:r>
    </w:p>
    <w:p>
      <w:pPr>
        <w:pStyle w:val="Heading1"/>
        <w:pageBreakBefore/>
      </w:pPr>
      <w:r>
        <w:t xml:space="preserve">1. Contexto e Objetivo</w:t>
      </w:r>
    </w:p>
    <w:p>
      <w:pPr>
        <w:spacing w:after="160" w:line="300"/>
        <w:jc w:val="both"/>
      </w:pPr>
      <w:r>
        <w:t xml:space="preserve">A base negocial transacional vive no </w:t>
      </w:r>
      <w:r>
        <w:rPr>
          <w:b/>
          <w:bCs/>
          <w:color w:val="0B2545"/>
        </w:rPr>
        <w:t xml:space="preserve">DB2 z/OS</w:t>
      </w:r>
      <w:r>
        <w:t xml:space="preserve">, no ambiente on-prem da </w:t>
      </w:r>
      <w:r>
        <w:rPr>
          <w:b/>
          <w:bCs/>
          <w:color w:val="0B2545"/>
        </w:rPr>
        <w:t xml:space="preserve">Caixa Econômica Federal</w:t>
      </w:r>
      <w:r>
        <w:t xml:space="preserve">. É um ambiente OLTP de mainframe, caro em processamento (MIPS) e dedicado à operação transacional.</w:t>
      </w:r>
    </w:p>
    <w:p>
      <w:pPr>
        <w:spacing w:after="160" w:line="300"/>
        <w:jc w:val="both"/>
      </w:pPr>
      <w:r>
        <w:t xml:space="preserve">O objetivo do projeto é oferecer um </w:t>
      </w:r>
      <w:r>
        <w:rPr>
          <w:b/>
          <w:bCs/>
          <w:color w:val="0B2545"/>
        </w:rPr>
        <w:t xml:space="preserve">portal de consulta</w:t>
      </w:r>
      <w:r>
        <w:t xml:space="preserve"> (Java + Angular) com três casos de uso: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Consulta de saldo</w:t>
      </w:r>
      <w:r>
        <w:t xml:space="preserve"> consolidado por conta e por CNPJ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Listagem de processos</w:t>
      </w:r>
      <w:r>
        <w:t xml:space="preserve"> associados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Busca por CNPJ</w:t>
      </w:r>
      <w:r>
        <w:t xml:space="preserve">, que pode envolver </w:t>
      </w:r>
      <w:r>
        <w:rPr>
          <w:b/>
          <w:bCs/>
          <w:color w:val="0B2545"/>
        </w:rPr>
        <w:t xml:space="preserve">muitas contas judiciais</w:t>
      </w:r>
    </w:p>
    <w:p>
      <w:pPr>
        <w:pStyle w:val="Heading2"/>
      </w:pPr>
      <w:r>
        <w:t xml:space="preserve">Por que AWS, e não consultar o DB2 diretamente</w:t>
      </w:r>
    </w:p>
    <w:p>
      <w:pPr>
        <w:spacing w:after="160" w:line="300"/>
        <w:jc w:val="both"/>
      </w:pPr>
      <w:r>
        <w:t xml:space="preserve">Esta é a decisão que motiva toda a arquitetura: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O DB2 z/OS é </w:t>
      </w:r>
      <w:r>
        <w:rPr>
          <w:b/>
          <w:bCs/>
          <w:color w:val="0B2545"/>
        </w:rPr>
        <w:t xml:space="preserve">transacional</w:t>
      </w:r>
      <w:r>
        <w:t xml:space="preserve"> e seu tempo de processamento tem custo direto (MIPS). Consultas pesadas competiriam com a operação do banco.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O caso crítico é o </w:t>
      </w:r>
      <w:r>
        <w:rPr>
          <w:b/>
          <w:bCs/>
          <w:color w:val="0B2545"/>
        </w:rPr>
        <w:t xml:space="preserve">fan-out de CNPJ</w:t>
      </w:r>
      <w:r>
        <w:t xml:space="preserve">: um único CNPJ grande (ex.: Petrobras) pode ter </w:t>
      </w:r>
      <w:r>
        <w:rPr>
          <w:b/>
          <w:bCs/>
          <w:color w:val="0B2545"/>
        </w:rPr>
        <w:t xml:space="preserve">mais de 50.000 contas judiciais</w:t>
      </w:r>
      <w:r>
        <w:t xml:space="preserve">, cada uma com depósitos, processos e partes. Calcular saldo consolidado ou listar processos desse CNPJ ao vivo seria lento e caro em qualquer banco relacional, inclusive no DB2.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A AWS passa a ser a </w:t>
      </w:r>
      <w:r>
        <w:rPr>
          <w:b/>
          <w:bCs/>
          <w:color w:val="0B2545"/>
        </w:rPr>
        <w:t xml:space="preserve">camada de leitura de alta performance</w:t>
      </w:r>
      <w:r>
        <w:t xml:space="preserve">, isolada da operação do mainframe. O mainframe faz o que faz bem (transação) e </w:t>
      </w:r>
      <w:r>
        <w:rPr>
          <w:b/>
          <w:bCs/>
          <w:color w:val="0B2545"/>
        </w:rPr>
        <w:t xml:space="preserve">empurra os dados uma vez por dia</w:t>
      </w:r>
      <w:r>
        <w:t xml:space="preserve">; o portal nunca toca no DB2.</w:t>
      </w:r>
    </w:p>
    <w:p>
      <w:pPr>
        <w:spacing w:after="160" w:line="300"/>
        <w:jc w:val="both"/>
      </w:pPr>
      <w:r>
        <w:rPr>
          <w:b/>
          <w:bCs/>
          <w:color w:val="005CA9"/>
          <w:sz w:val="23"/>
          <w:szCs w:val="23"/>
        </w:rPr>
        <w:t xml:space="preserve">O ganho de performance não vem de "estar na nuvem", vem de transformar o dado para o formato de leitura ideal e pré-computar o que é caro.</w:t>
      </w:r>
    </w:p>
    <w:p>
      <w:pPr>
        <w:pStyle w:val="Heading1"/>
        <w:pageBreakBefore/>
      </w:pPr>
      <w:r>
        <w:t xml:space="preserve">2. Visão Geral da Arquitetura</w:t>
      </w:r>
    </w:p>
    <w:p>
      <w:pPr>
        <w:spacing w:after="160" w:line="300"/>
        <w:jc w:val="both"/>
      </w:pPr>
      <w:r>
        <w:t xml:space="preserve">A solução é organizada em dois ambientes claramente delimitados. No </w:t>
      </w:r>
      <w:r>
        <w:rPr>
          <w:b/>
          <w:bCs/>
          <w:color w:val="0B2545"/>
        </w:rPr>
        <w:t xml:space="preserve">ambiente Caixa (on-prem)</w:t>
      </w:r>
      <w:r>
        <w:t xml:space="preserve"> permanece a base negocial transacional no DB2 z/OS, inalterada em sua função operacional. No </w:t>
      </w:r>
      <w:r>
        <w:rPr>
          <w:b/>
          <w:bCs/>
          <w:color w:val="0B2545"/>
        </w:rPr>
        <w:t xml:space="preserve">ambiente AWS</w:t>
      </w:r>
      <w:r>
        <w:t xml:space="preserve"> concentra-se toda a camada de consulta de alta performance, subdividida em quatro domínios: identidade/SSO, ingestão de dados, camada de dados e portal.</w:t>
      </w:r>
    </w:p>
    <w:p>
      <w:pPr>
        <w:spacing w:after="160" w:line="300"/>
        <w:jc w:val="both"/>
      </w:pPr>
      <w:r>
        <w:t xml:space="preserve">A Figura 1 apresenta essa organização. O ponto central a observar é que existe </w:t>
      </w:r>
      <w:r>
        <w:rPr>
          <w:b/>
          <w:bCs/>
          <w:color w:val="0B2545"/>
        </w:rPr>
        <w:t xml:space="preserve">uma única travessia entre os dois ambientes</w:t>
      </w:r>
      <w:r>
        <w:t xml:space="preserve"> — o envio diário de dados do mainframe para a AWS via Direct Connect. Internamente, a AWS opera dois caminhos independentes: um de </w:t>
      </w:r>
      <w:r>
        <w:rPr>
          <w:b/>
          <w:bCs/>
          <w:color w:val="0B2545"/>
        </w:rPr>
        <w:t xml:space="preserve">escrita</w:t>
      </w:r>
      <w:r>
        <w:t xml:space="preserve"> (a carga diária, que alimenta as bases) e um de </w:t>
      </w:r>
      <w:r>
        <w:rPr>
          <w:b/>
          <w:bCs/>
          <w:color w:val="0B2545"/>
        </w:rPr>
        <w:t xml:space="preserve">leitura</w:t>
      </w:r>
      <w:r>
        <w:t xml:space="preserve"> (as consultas do usuário, que nunca escrevem na base).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096000" cy="5486400"/>
            <wp:effectExtent t="0" r="0" b="0" l="0"/>
            <wp:docPr id="1" name="fig1" descr="Diagrama 1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B6B7B"/>
          <w:sz w:val="18"/>
          <w:szCs w:val="18"/>
        </w:rPr>
        <w:t xml:space="preserve">Figura 1 — Visão geral da arquitetura: ambientes Caixa e AWS, com os caminhos de escrita (carga) e leitura (consulta) destacados.</w:t>
      </w:r>
    </w:p>
    <w:p>
      <w:pPr>
        <w:spacing w:after="160" w:line="300"/>
        <w:jc w:val="both"/>
      </w:pPr>
      <w:r>
        <w:t xml:space="preserve">A leitura da figura confirma o princípio de projeto: o portal nunca escreve na base de dados. A escrita ocorre exclusivamente no ciclo de carga diária; a consulta apenas lê, roteando cada operação para o repositório mais adequado.</w:t>
      </w:r>
    </w:p>
    <w:p>
      <w:pPr>
        <w:pStyle w:val="Heading1"/>
        <w:pageBreakBefore/>
      </w:pPr>
      <w:r>
        <w:t xml:space="preserve">3. Fluxo de Funcionamento</w:t>
      </w:r>
    </w:p>
    <w:p>
      <w:pPr>
        <w:pStyle w:val="Heading2"/>
      </w:pPr>
      <w:r>
        <w:t xml:space="preserve">3.1 Caminho de Carga (1x por dia — ciclo 24x24h, somente UPDATE)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  <w:color w:val="0B2545"/>
        </w:rPr>
        <w:t xml:space="preserve">Origem</w:t>
      </w:r>
      <w:r>
        <w:t xml:space="preserve"> — A base negocial vive no DB2 z/OS com as tabelas A08, A10, A11, A20, B06 e J06.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  <w:color w:val="0B2545"/>
        </w:rPr>
        <w:t xml:space="preserve">Extração do delta</w:t>
      </w:r>
      <w:r>
        <w:t xml:space="preserve"> — Um job no mainframe seleciona as alterações do dia (apenas o que mudou).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  <w:color w:val="0B2545"/>
        </w:rPr>
        <w:t xml:space="preserve">Push para a AWS</w:t>
      </w:r>
      <w:r>
        <w:t xml:space="preserve"> — O job empurra o arquivo pela única ponte entre os ambientes: o </w:t>
      </w:r>
      <w:r>
        <w:rPr>
          <w:b/>
          <w:bCs/>
          <w:color w:val="0B2545"/>
        </w:rPr>
        <w:t xml:space="preserve">Direct Connect</w:t>
      </w:r>
      <w:r>
        <w:t xml:space="preserve"> (contrato Caixa↔AWS já vigente). É o mainframe que envia; a AWS não lê o DB2 diretamente.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  <w:color w:val="0B2545"/>
        </w:rPr>
        <w:t xml:space="preserve">Recepção</w:t>
      </w:r>
      <w:r>
        <w:t xml:space="preserve"> — O arquivo chega no </w:t>
      </w:r>
      <w:r>
        <w:rPr>
          <w:b/>
          <w:bCs/>
          <w:color w:val="0B2545"/>
        </w:rPr>
        <w:t xml:space="preserve">AWS Transfer Family (SFTP)</w:t>
      </w:r>
      <w:r>
        <w:t xml:space="preserve"> e é depositado no bucket </w:t>
      </w:r>
      <w:r>
        <w:rPr>
          <w:b/>
          <w:bCs/>
          <w:color w:val="0B2545"/>
        </w:rPr>
        <w:t xml:space="preserve">S3 Landing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b/>
          <w:bCs/>
          <w:color w:val="0B2545"/>
        </w:rPr>
        <w:t xml:space="preserve">Processamento</w:t>
      </w:r>
      <w:r>
        <w:t xml:space="preserve"> — A chegada do arquivo dispara a carga (</w:t>
      </w:r>
      <w:r>
        <w:rPr>
          <w:b/>
          <w:bCs/>
          <w:color w:val="0B2545"/>
        </w:rPr>
        <w:t xml:space="preserve">Glue/Lambda</w:t>
      </w:r>
      <w:r>
        <w:t xml:space="preserve">), que:</w:t>
      </w:r>
    </w:p>
    <w:p>
      <w:pPr>
        <w:pStyle w:val="ListParagraph"/>
        <w:numPr>
          <w:ilvl w:val="1"/>
          <w:numId w:val="2"/>
        </w:numPr>
        <w:spacing w:after="80" w:line="288"/>
      </w:pPr>
      <w:r>
        <w:t xml:space="preserve">valida e transforma os dados;</w:t>
      </w:r>
    </w:p>
    <w:p>
      <w:pPr>
        <w:pStyle w:val="ListParagraph"/>
        <w:numPr>
          <w:ilvl w:val="1"/>
          <w:numId w:val="2"/>
        </w:numPr>
        <w:spacing w:after="80" w:line="288"/>
      </w:pPr>
      <w:r>
        <w:t xml:space="preserve">aplica </w:t>
      </w:r>
      <w:r>
        <w:rPr>
          <w:b/>
          <w:bCs/>
          <w:color w:val="0B2545"/>
        </w:rPr>
        <w:t xml:space="preserve">UPSERT</w:t>
      </w:r>
      <w:r>
        <w:t xml:space="preserve"> no Aurora (atualiza/insere só o que mudou);</w:t>
      </w:r>
    </w:p>
    <w:p>
      <w:pPr>
        <w:pStyle w:val="ListParagraph"/>
        <w:numPr>
          <w:ilvl w:val="1"/>
          <w:numId w:val="2"/>
        </w:numPr>
        <w:spacing w:after="80" w:line="288"/>
      </w:pPr>
      <w:r>
        <w:rPr>
          <w:b/>
          <w:bCs/>
          <w:color w:val="0B2545"/>
        </w:rPr>
        <w:t xml:space="preserve">reindexa</w:t>
      </w:r>
      <w:r>
        <w:t xml:space="preserve"> o OpenSearch;</w:t>
      </w:r>
    </w:p>
    <w:p>
      <w:pPr>
        <w:pStyle w:val="ListParagraph"/>
        <w:numPr>
          <w:ilvl w:val="1"/>
          <w:numId w:val="2"/>
        </w:numPr>
        <w:spacing w:after="80" w:line="288"/>
      </w:pPr>
      <w:r>
        <w:rPr>
          <w:b/>
          <w:bCs/>
          <w:color w:val="0B2545"/>
        </w:rPr>
        <w:t xml:space="preserve">recalcula o agregado por CNPJ</w:t>
      </w:r>
      <w:r>
        <w:t xml:space="preserve"> (ex.: saldo consolidado);</w:t>
      </w:r>
    </w:p>
    <w:p>
      <w:pPr>
        <w:pStyle w:val="ListParagraph"/>
        <w:numPr>
          <w:ilvl w:val="1"/>
          <w:numId w:val="2"/>
        </w:numPr>
        <w:spacing w:after="80" w:line="288"/>
      </w:pPr>
      <w:r>
        <w:t xml:space="preserve">aquece/invalida o </w:t>
      </w:r>
      <w:r>
        <w:rPr>
          <w:b/>
          <w:bCs/>
          <w:color w:val="0B2545"/>
        </w:rPr>
        <w:t xml:space="preserve">Redis</w:t>
      </w:r>
      <w:r>
        <w:t xml:space="preserve">.</w:t>
      </w:r>
    </w:p>
    <w:p>
      <w:pPr>
        <w:pBdr>
          <w:left w:val="single" w:color="F39200" w:sz="24" w:space="10"/>
        </w:pBdr>
        <w:shd w:fill="FFF6E5" w:color="auto" w:val="clear"/>
        <w:spacing w:after="200" w:before="200" w:line="288"/>
        <w:ind w:left="200" w:right="200"/>
      </w:pPr>
      <w:r>
        <w:rPr>
          <w:b/>
          <w:bCs/>
          <w:color w:val="0B2545"/>
          <w:sz w:val="20"/>
          <w:szCs w:val="20"/>
        </w:rPr>
        <w:t xml:space="preserve">Consequência importante:</w:t>
      </w:r>
      <w:r>
        <w:rPr>
          <w:sz w:val="20"/>
          <w:szCs w:val="20"/>
        </w:rPr>
        <w:t xml:space="preserve"> o portal exibe sempre a </w:t>
      </w:r>
      <w:r>
        <w:rPr>
          <w:b/>
          <w:bCs/>
          <w:color w:val="0B2545"/>
          <w:sz w:val="20"/>
          <w:szCs w:val="20"/>
        </w:rPr>
        <w:t xml:space="preserve">foto do último ciclo</w:t>
      </w:r>
      <w:r>
        <w:rPr>
          <w:sz w:val="20"/>
          <w:szCs w:val="20"/>
        </w:rPr>
        <w:t xml:space="preserve"> (até ~24h de defasagem em relação ao DB2). Adequado para consulta operacional. Se um dia for necessário dado mais fresco, reabre-se a discussão de CDC (replicação em tempo quase real).</w:t>
      </w:r>
    </w:p>
    <w:p>
      <w:pPr>
        <w:pStyle w:val="Heading2"/>
      </w:pPr>
      <w:r>
        <w:t xml:space="preserve">3.2 Caminho de Consulta (o tempo todo)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O usuário acessa o portal pelo </w:t>
      </w:r>
      <w:r>
        <w:rPr>
          <w:b/>
          <w:bCs/>
          <w:color w:val="0B2545"/>
        </w:rPr>
        <w:t xml:space="preserve">CloudFront + WAF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O CloudFront serve o </w:t>
      </w:r>
      <w:r>
        <w:rPr>
          <w:b/>
          <w:bCs/>
          <w:color w:val="0B2545"/>
        </w:rPr>
        <w:t xml:space="preserve">frontend Angular</w:t>
      </w:r>
      <w:r>
        <w:t xml:space="preserve"> (estático em S3).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As ações do usuário chamam o </w:t>
      </w:r>
      <w:r>
        <w:rPr>
          <w:b/>
          <w:bCs/>
          <w:color w:val="0B2545"/>
        </w:rPr>
        <w:t xml:space="preserve">API Gateway</w:t>
      </w:r>
      <w:r>
        <w:t xml:space="preserve">, que encaminha ao </w:t>
      </w:r>
      <w:r>
        <w:rPr>
          <w:b/>
          <w:bCs/>
          <w:color w:val="0B2545"/>
        </w:rPr>
        <w:t xml:space="preserve">Quarkus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O Quarkus </w:t>
      </w:r>
      <w:r>
        <w:rPr>
          <w:b/>
          <w:bCs/>
          <w:color w:val="0B2545"/>
        </w:rPr>
        <w:t xml:space="preserve">apenas lê</w:t>
      </w:r>
      <w:r>
        <w:t xml:space="preserve"> da camada de dados, escolhendo o banco certo para cada operação.</w:t>
      </w:r>
    </w:p>
    <w:p>
      <w:pPr>
        <w:pStyle w:val="Heading2"/>
      </w:pPr>
      <w:r>
        <w:t xml:space="preserve">3.3 Diagramas de Sequência</w:t>
      </w:r>
    </w:p>
    <w:p>
      <w:pPr>
        <w:spacing w:after="160" w:line="300"/>
        <w:jc w:val="both"/>
      </w:pPr>
      <w:r>
        <w:t xml:space="preserve">A arquitetura tem </w:t>
      </w:r>
      <w:r>
        <w:rPr>
          <w:b/>
          <w:bCs/>
          <w:color w:val="0B2545"/>
        </w:rPr>
        <w:t xml:space="preserve">dois fluxos independentes</w:t>
      </w:r>
      <w:r>
        <w:t xml:space="preserve">. Cada diagrama abaixo detalha a ordem temporal das interações.</w:t>
      </w:r>
    </w:p>
    <w:p>
      <w:pPr>
        <w:pStyle w:val="Heading3"/>
      </w:pPr>
      <w:r>
        <w:t xml:space="preserve">3.3.1 Fluxo de Carga Diária (escrita — 1x por dia)</w:t>
      </w:r>
    </w:p>
    <w:p>
      <w:pPr>
        <w:spacing w:after="160" w:line="300"/>
        <w:jc w:val="both"/>
      </w:pPr>
      <w:r>
        <w:t xml:space="preserve">A Figura 2 detalha a ordem temporal do caminho de escrita. O ciclo inicia-se no mainframe, que extrai apenas os registros alterados no dia (delta) e os empurra para a AWS. Uma vez recebido o arquivo, o processamento grava primeiro no </w:t>
      </w:r>
      <w:r>
        <w:rPr>
          <w:b/>
          <w:bCs/>
          <w:color w:val="0B2545"/>
        </w:rPr>
        <w:t xml:space="preserve">Aurora</w:t>
      </w:r>
      <w:r>
        <w:t xml:space="preserve"> — a fonte da verdade — e só então propaga para as cópias derivadas (OpenSearch e Redis). Essa ordem é deliberada: garante que, em caso de falha parcial, a fonte da verdade permaneça íntegra e a etapa possa ser reprocessada sem comprometer a consistência.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096000" cy="2686050"/>
            <wp:effectExtent t="0" r="0" b="0" l="0"/>
            <wp:docPr id="2" name="fig2" descr="Diagrama 2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B6B7B"/>
          <w:sz w:val="18"/>
          <w:szCs w:val="18"/>
        </w:rPr>
        <w:t xml:space="preserve">Figura 2 — Diagrama de sequência do fluxo de carga diária: extração do delta no mainframe, transferência via Direct Connect e gravação ordenada (Aurora → OpenSearch → Redis).</w:t>
      </w:r>
    </w:p>
    <w:p>
      <w:pPr>
        <w:pStyle w:val="Heading3"/>
      </w:pPr>
      <w:r>
        <w:t xml:space="preserve">3.3.2 Fluxo de Consulta do Usuário (leitura — o tempo todo)</w:t>
      </w:r>
    </w:p>
    <w:p>
      <w:pPr>
        <w:spacing w:after="160" w:line="300"/>
        <w:jc w:val="both"/>
      </w:pPr>
      <w:r>
        <w:t xml:space="preserve">A Figura 3 descreve o caminho de leitura, que se inicia sempre pela autenticação via SSO (OIDC com Authorization Code + PKCE no Keycloak). Autenticado o usuário, o diagrama ilustra os dois casos de uso principais e suas rotas distintas: a </w:t>
      </w:r>
      <w:r>
        <w:rPr>
          <w:b/>
          <w:bCs/>
          <w:color w:val="0B2545"/>
        </w:rPr>
        <w:t xml:space="preserve">consulta de saldo</w:t>
      </w:r>
      <w:r>
        <w:t xml:space="preserve">, que tenta primeiro o cache (Redis) e recorre ao agregado pré-computado no Aurora apenas em caso de </w:t>
      </w:r>
      <w:r>
        <w:rPr>
          <w:i/>
          <w:iCs/>
        </w:rPr>
        <w:t xml:space="preserve">cache miss</w:t>
      </w:r>
      <w:r>
        <w:t xml:space="preserve">; e a </w:t>
      </w:r>
      <w:r>
        <w:rPr>
          <w:b/>
          <w:bCs/>
          <w:color w:val="0B2545"/>
        </w:rPr>
        <w:t xml:space="preserve">listagem de processos</w:t>
      </w:r>
      <w:r>
        <w:t xml:space="preserve">, que vai diretamente ao OpenSearch, responsável pela paginação eficiente do fan-out. Observa-se que o backend nunca combina dados dos repositórios: ele roteia cada requisição ao repositório cujo formato já está pronto para respondê-la.</w:t>
      </w:r>
    </w:p>
    <w:p>
      <w:pPr>
        <w:keepNext/>
        <w:spacing w:after="80" w:before="200"/>
        <w:jc w:val="center"/>
      </w:pPr>
      <w:r>
        <w:drawing>
          <wp:inline distT="0" distB="0" distL="0" distR="0">
            <wp:extent cx="6096000" cy="4295775"/>
            <wp:effectExtent t="0" r="0" b="0" l="0"/>
            <wp:docPr id="3" name="fig3" descr="Diagrama 3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60"/>
        <w:jc w:val="center"/>
      </w:pPr>
      <w:r>
        <w:rPr>
          <w:i/>
          <w:iCs/>
          <w:color w:val="5B6B7B"/>
          <w:sz w:val="18"/>
          <w:szCs w:val="18"/>
        </w:rPr>
        <w:t xml:space="preserve">Figura 3 — Diagrama de sequência do fluxo de consulta: autenticação SSO, consulta de saldo com estratégia de cache e listagem de processos paginada via OpenSearch.</w:t>
      </w:r>
    </w:p>
    <w:p>
      <w:pPr>
        <w:pStyle w:val="Heading1"/>
        <w:pageBreakBefore/>
      </w:pPr>
      <w:r>
        <w:t xml:space="preserve">4. Decisões de Arquitetura (ADRs resumidos)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5"/>
        <w:gridCol w:w="2835"/>
        <w:gridCol w:w="2126"/>
        <w:gridCol w:w="4252"/>
      </w:tblGrid>
      <w:tr>
        <w:trPr>
          <w:tblHeader/>
        </w:trP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Alternativa descartada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Replicar o DB2 para a AWS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Consultar o DB2 direto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Evitar custo de MIPS e concorrência com a operação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Push diário do mainframe (arquivo)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CDC via AWS DMS lendo o z/OS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Mainframe empurrando é mais aceito pela segurança da Caixa; refresh diário atende consulta operacional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Aurora PostgreSQL como núcleo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Oracle/DB2 na AWS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Postgres gerenciado, maduro, barato; 800k contas é volume confortável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Agregado de saldo por CNPJ pré-computado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Calcular </w:t>
            </w:r>
            <w:r>
              <w:rPr>
                <w:rFonts w:ascii="Consolas" w:cs="Consolas" w:eastAsia="Consolas" w:hAnsi="Consolas"/>
                <w:color w:val="A4262C"/>
                <w:sz w:val="19"/>
                <w:szCs w:val="19"/>
                <w:shd w:fill="F1F1F1" w:color="auto" w:val="clear"/>
              </w:rPr>
              <w:t xml:space="preserve">SUM</w:t>
            </w:r>
            <w:r>
              <w:rPr>
                <w:sz w:val="19"/>
                <w:szCs w:val="19"/>
              </w:rPr>
              <w:t xml:space="preserve"> ao vivo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Resolve o fan-out (Petrobras, 50k+ contas): consulta vira leitura por chave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OpenSearch para busca/listagem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Paginar no Postgres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A4262C"/>
                <w:sz w:val="19"/>
                <w:szCs w:val="19"/>
                <w:shd w:fill="F1F1F1" w:color="auto" w:val="clear"/>
              </w:rPr>
              <w:t xml:space="preserve">OFFSET</w:t>
            </w:r>
            <w:r>
              <w:rPr>
                <w:sz w:val="19"/>
                <w:szCs w:val="19"/>
              </w:rPr>
              <w:t xml:space="preserve"> grande e busca textual degradam no relacional; OpenSearch foi feito pra isso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Redis para cache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Sem cache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CNPJs "quentes" consultados o tempo todo; elimina trabalho repetido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Quarkus (não Spring)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Spring Boot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Startup rápido, baixo consumo, imagem nativa, </w:t>
            </w:r>
            <w:r>
              <w:rPr>
                <w:rFonts w:ascii="Consolas" w:cs="Consolas" w:eastAsia="Consolas" w:hAnsi="Consolas"/>
                <w:color w:val="A4262C"/>
                <w:sz w:val="19"/>
                <w:szCs w:val="19"/>
                <w:shd w:fill="F1F1F1" w:color="auto" w:val="clear"/>
              </w:rPr>
              <w:t xml:space="preserve">quarkus-oidc</w:t>
            </w:r>
            <w:r>
              <w:rPr>
                <w:sz w:val="19"/>
                <w:szCs w:val="19"/>
              </w:rPr>
              <w:t xml:space="preserve"> integra bem com Keycloak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Keycloak (base própria) na AWS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Cognito / federar com AD agora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SSO padrão de mercado; federação com AD da Caixa fica como </w:t>
            </w:r>
            <w:r>
              <w:rPr>
                <w:b/>
                <w:bCs/>
                <w:color w:val="0B2545"/>
                <w:sz w:val="19"/>
                <w:szCs w:val="19"/>
              </w:rPr>
              <w:t xml:space="preserve">evolução futura</w:t>
            </w:r>
          </w:p>
        </w:tc>
      </w:tr>
      <w:tr>
        <w:tc>
          <w:tcPr>
            <w:tcW w:type="dxa" w:w="4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83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Sem camada OLAP (Redshift)</w:t>
            </w:r>
          </w:p>
        </w:tc>
        <w:tc>
          <w:tcPr>
            <w:tcW w:type="dxa" w:w="212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Redshift</w:t>
            </w:r>
          </w:p>
        </w:tc>
        <w:tc>
          <w:tcPr>
            <w:tcW w:type="dxa" w:w="42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Portal é só consulta operacional, não analítico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Justificativa Detalhada de Cada Serviço AWS</w:t>
      </w:r>
    </w:p>
    <w:p>
      <w:pPr>
        <w:spacing w:after="160" w:line="300"/>
        <w:jc w:val="both"/>
      </w:pPr>
      <w:r>
        <w:t xml:space="preserve">Esta seção justifica </w:t>
      </w:r>
      <w:r>
        <w:rPr>
          <w:b/>
          <w:bCs/>
          <w:color w:val="0B2545"/>
        </w:rPr>
        <w:t xml:space="preserve">cada componente individualmente</w:t>
      </w:r>
      <w:r>
        <w:t xml:space="preserve">: a função que exerce, por que foi escolhido em vez da alternativa, o que aconteceria se fosse removido e as implicações de custo/operação. O objetivo é sustentar a decisão em revisão de arquitetura e aprovação de orçamento.</w:t>
      </w:r>
    </w:p>
    <w:p>
      <w:pPr>
        <w:pStyle w:val="Heading3"/>
      </w:pPr>
      <w:r>
        <w:t xml:space="preserve">Conectividade</w:t>
      </w:r>
    </w:p>
    <w:p>
      <w:pPr>
        <w:pStyle w:val="Heading4"/>
      </w:pPr>
      <w:r>
        <w:t xml:space="preserve">AWS Direct Connect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link dedicado entre o data center da Caixa e a AWS, por onde o mainframe empurra a carga diária.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este e não VPN:</w:t>
      </w:r>
      <w:r>
        <w:t xml:space="preserve"> a VPN trafega pela internet pública, com latência e banda variáveis — inadequado para transferir diariamente um volume grande de dados de uma instituição financeira. O Direct Connect oferece banda previsível, menor latência e um canal privado que atende às exigências de segurança da Caixa.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a transferência diária ficaria sujeita à instabilidade da internet e a janela de carga poderia estourar; além de não atender requisitos de compliance para dados sensíveis.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fixo mensal do circuito + custo de transferência. Já coberto pelo </w:t>
      </w:r>
      <w:r>
        <w:rPr>
          <w:b/>
          <w:bCs/>
          <w:color w:val="0B2545"/>
        </w:rPr>
        <w:t xml:space="preserve">contrato Caixa↔AWS vigente</w:t>
      </w:r>
      <w:r>
        <w:t xml:space="preserve">, portanto não é um bloqueio de projeto. A VPN permanece como </w:t>
      </w:r>
      <w:r>
        <w:rPr>
          <w:b/>
          <w:bCs/>
          <w:color w:val="0B2545"/>
        </w:rPr>
        <w:t xml:space="preserve">rota de contingência</w:t>
      </w:r>
      <w:r>
        <w:t xml:space="preserve">.</w:t>
      </w:r>
    </w:p>
    <w:p>
      <w:pPr>
        <w:pStyle w:val="Heading3"/>
      </w:pPr>
      <w:r>
        <w:t xml:space="preserve">Ingestão e Carga</w:t>
      </w:r>
    </w:p>
    <w:p>
      <w:pPr>
        <w:pStyle w:val="Heading4"/>
      </w:pPr>
      <w:r>
        <w:t xml:space="preserve">AWS Transfer Family (SFTP)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endpoint SFTP gerenciado que recebe o arquivo empurrado pelo mainframe.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este e não um servidor SFTP próprio:</w:t>
      </w:r>
      <w:r>
        <w:t xml:space="preserve"> o mainframe já fala SFTP nativamente; o Transfer Family entrega esse protocolo </w:t>
      </w:r>
      <w:r>
        <w:rPr>
          <w:b/>
          <w:bCs/>
          <w:color w:val="0B2545"/>
        </w:rPr>
        <w:t xml:space="preserve">sem precisar operar e manter um servidor</w:t>
      </w:r>
      <w:r>
        <w:t xml:space="preserve"> (patching, alta disponibilidade, escala). Entrega direto no S3.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não API/HTTP:</w:t>
      </w:r>
      <w:r>
        <w:t xml:space="preserve"> exigiria mudança no lado mainframe (que é caro e burocrático de alterar). SFTP é o que o z/OS já sabe fazer.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seria necessário montar e manter um servidor SFTP em EC2, assumindo responsabilidade operacional que o serviço gerenciado elimina.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cobrança por endpoint ativo + por volume transferido. Baixo esforço operacional.</w:t>
      </w:r>
    </w:p>
    <w:p>
      <w:pPr>
        <w:pStyle w:val="Heading4"/>
      </w:pPr>
      <w:r>
        <w:t xml:space="preserve">Amazon S3 (Landing)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armazena o arquivo de carga bruto recebido; ponto de desacoplamento entre recepção e processamento.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este:</w:t>
      </w:r>
      <w:r>
        <w:t xml:space="preserve"> durabilidade de 11 noves, custo baixíssimo, e </w:t>
      </w:r>
      <w:r>
        <w:rPr>
          <w:b/>
          <w:bCs/>
          <w:color w:val="0B2545"/>
        </w:rPr>
        <w:t xml:space="preserve">dispara eventos</w:t>
      </w:r>
      <w:r>
        <w:t xml:space="preserve"> que acionam o processamento automaticamente. Serve também como trilha de auditoria (histórico das cargas recebidas) e permite </w:t>
      </w:r>
      <w:r>
        <w:rPr>
          <w:b/>
          <w:bCs/>
          <w:color w:val="0B2545"/>
        </w:rPr>
        <w:t xml:space="preserve">reprocessar</w:t>
      </w:r>
      <w:r>
        <w:t xml:space="preserve"> um dia específico se a carga falhar.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não haveria desacoplamento entre "receber" e "processar", nem trilha para reprocessamento — uma falha no meio da carga seria difícil de recuperar.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irrisório. Aplicar política de ciclo de vida (expirar arquivos antigos) para controlar retenção.</w:t>
      </w:r>
    </w:p>
    <w:p>
      <w:pPr>
        <w:pStyle w:val="Heading4"/>
      </w:pPr>
      <w:r>
        <w:t xml:space="preserve">AWS Glue / AWS Lambda (processamento da carga)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valida, transforma, aplica UPSERT no Aurora, reindexa o OpenSearch e recalcula o agregado por CNPJ.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serverless e não um job em EC2:</w:t>
      </w:r>
      <w:r>
        <w:t xml:space="preserve"> a carga roda </w:t>
      </w:r>
      <w:r>
        <w:rPr>
          <w:b/>
          <w:bCs/>
          <w:color w:val="0B2545"/>
        </w:rPr>
        <w:t xml:space="preserve">1x por dia</w:t>
      </w:r>
      <w:r>
        <w:t xml:space="preserve"> — manter uma instância ligada 24h para trabalhar poucos minutos é desperdício. Glue/Lambda cobram só pela execução.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Glue vs Lambda:</w:t>
      </w:r>
      <w:r>
        <w:t xml:space="preserve"> </w:t>
      </w:r>
      <w:r>
        <w:rPr>
          <w:b/>
          <w:bCs/>
          <w:color w:val="0B2545"/>
        </w:rPr>
        <w:t xml:space="preserve">Lambda</w:t>
      </w:r>
      <w:r>
        <w:t xml:space="preserve"> para cargas leves e orquestração rápida (limite de 15 min por execução); </w:t>
      </w:r>
      <w:r>
        <w:rPr>
          <w:b/>
          <w:bCs/>
          <w:color w:val="0B2545"/>
        </w:rPr>
        <w:t xml:space="preserve">Glue</w:t>
      </w:r>
      <w:r>
        <w:t xml:space="preserve"> (Spark gerenciado) quando o volume do arquivo exigir processamento distribuído ou a transformação for pesada. A escolha final depende do tamanho real do delta diário.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a carga seria manual ou exigiria infraestrutura dedicada ociosa a maior parte do tempo.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proporcional ao uso. É aqui que mora a </w:t>
      </w:r>
      <w:r>
        <w:rPr>
          <w:b/>
          <w:bCs/>
          <w:color w:val="0B2545"/>
        </w:rPr>
        <w:t xml:space="preserve">lógica de consistência</w:t>
      </w:r>
      <w:r>
        <w:t xml:space="preserve"> entre os três bancos.</w:t>
      </w:r>
    </w:p>
    <w:p>
      <w:pPr>
        <w:pStyle w:val="Heading3"/>
      </w:pPr>
      <w:r>
        <w:t xml:space="preserve">Camada de Dados</w:t>
      </w:r>
    </w:p>
    <w:p>
      <w:pPr>
        <w:pStyle w:val="Heading4"/>
      </w:pPr>
      <w:r>
        <w:t xml:space="preserve">Amazon Aurora PostgreSQL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banco relacional que é a </w:t>
      </w:r>
      <w:r>
        <w:rPr>
          <w:b/>
          <w:bCs/>
          <w:color w:val="0B2545"/>
        </w:rPr>
        <w:t xml:space="preserve">fonte da verdade na AWS</w:t>
      </w:r>
      <w:r>
        <w:t xml:space="preserve">, guarda os dados estruturados e o agregado </w:t>
      </w:r>
      <w:r>
        <w:rPr>
          <w:rFonts w:ascii="Consolas" w:cs="Consolas" w:eastAsia="Consolas" w:hAnsi="Consolas"/>
          <w:color w:val="A4262C"/>
          <w:sz w:val="19"/>
          <w:szCs w:val="19"/>
          <w:shd w:fill="F1F1F1" w:color="auto" w:val="clear"/>
        </w:rPr>
        <w:t xml:space="preserve">saldo_por_cnpj</w:t>
      </w:r>
      <w:r>
        <w:t xml:space="preserve">; serve consultas por chave.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Aurora e não RDS PostgreSQL comum:</w:t>
      </w:r>
      <w:r>
        <w:t xml:space="preserve"> o Aurora tem storage distribuído que replica em múltiplas zonas automaticamente, failover mais rápido e </w:t>
      </w:r>
      <w:r>
        <w:rPr>
          <w:b/>
          <w:bCs/>
          <w:color w:val="0B2545"/>
        </w:rPr>
        <w:t xml:space="preserve">read replicas</w:t>
      </w:r>
      <w:r>
        <w:t xml:space="preserve"> que escalam a leitura — exatamente o perfil deste portal (muita leitura, escrita concentrada na carga diária).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não Oracle/DB2 na AWS:</w:t>
      </w:r>
      <w:r>
        <w:t xml:space="preserve"> licença cara e nenhum ganho funcional para este caso; 800k contas é volume confortável para Postgres. Reproduzir o DB2 na nuvem manteria o custo de licenciamento sem resolver o problema de performance.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não DynamoDB (NoSQL):</w:t>
      </w:r>
      <w:r>
        <w:t xml:space="preserve"> o modelo é relacional (contas, depósitos, processos, partes com relacionamentos) e há consultas por atributos variados; forçar isso em chave-valor complicaria mais do que ajudaria.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não haveria fonte de verdade estruturada na AWS nem lugar natural para o agregado pré-computado.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maior item de custo recorrente da camada de dados. Dimensionar a instância e as read replicas conforme a concorrência observada. </w:t>
      </w:r>
      <w:r>
        <w:rPr>
          <w:b/>
          <w:bCs/>
          <w:color w:val="0B2545"/>
        </w:rPr>
        <w:t xml:space="preserve">Aurora Serverless v2</w:t>
      </w:r>
      <w:r>
        <w:t xml:space="preserve"> é opção se a carga for muito variável.</w:t>
      </w:r>
    </w:p>
    <w:p>
      <w:pPr>
        <w:pStyle w:val="Heading4"/>
      </w:pPr>
      <w:r>
        <w:t xml:space="preserve">Amazon OpenSearch Service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motor de busca e paginação para o </w:t>
      </w:r>
      <w:r>
        <w:rPr>
          <w:b/>
          <w:bCs/>
          <w:color w:val="0B2545"/>
        </w:rPr>
        <w:t xml:space="preserve">fan-out</w:t>
      </w:r>
      <w:r>
        <w:t xml:space="preserve"> — busca por CNPJ parcial, nome de parte, nº de processo, e listagem de dezenas de milhares de contas/processos.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este e não resolver no Postgres:</w:t>
      </w:r>
      <w:r>
        <w:t xml:space="preserve"> paginação com </w:t>
      </w:r>
      <w:r>
        <w:rPr>
          <w:rFonts w:ascii="Consolas" w:cs="Consolas" w:eastAsia="Consolas" w:hAnsi="Consolas"/>
          <w:color w:val="A4262C"/>
          <w:sz w:val="19"/>
          <w:szCs w:val="19"/>
          <w:shd w:fill="F1F1F1" w:color="auto" w:val="clear"/>
        </w:rPr>
        <w:t xml:space="preserve">OFFSET</w:t>
      </w:r>
      <w:r>
        <w:t xml:space="preserve"> grande e busca textual livre degradam rapidamente no relacional. O OpenSearch foi projetado para busca invertida e paginação eficiente em grandes volumes — é o que torna a listagem da Petrobras (50k+ contas) viável com baixa latência.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se justifica cedo:</w:t>
      </w:r>
      <w:r>
        <w:t xml:space="preserve"> o fan-out de clientes grandes é requisito </w:t>
      </w:r>
      <w:r>
        <w:rPr>
          <w:b/>
          <w:bCs/>
          <w:color w:val="0B2545"/>
        </w:rPr>
        <w:t xml:space="preserve">desde o dia 1</w:t>
      </w:r>
      <w:r>
        <w:t xml:space="preserve">, então adiar o OpenSearch empurraria o problema para o Postgres justamente no caso mais crítico.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a busca e as listagens grandes recairiam no Aurora, degradando a experiência exatamente nos clientes de maior porte.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cluster com custo relevante (nós dedicados). É uma </w:t>
      </w:r>
      <w:r>
        <w:rPr>
          <w:b/>
          <w:bCs/>
          <w:color w:val="0B2545"/>
        </w:rPr>
        <w:t xml:space="preserve">cópia derivada</w:t>
      </w:r>
      <w:r>
        <w:t xml:space="preserve"> — se perdido, é reconstruído pela próxima carga a partir do Aurora.</w:t>
      </w:r>
    </w:p>
    <w:p>
      <w:pPr>
        <w:pStyle w:val="Heading4"/>
      </w:pPr>
      <w:r>
        <w:t xml:space="preserve">Amazon ElastiCache (Redis)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cache em memória das respostas mais pedidas (saldo e primeira página de processos dos CNPJs "quentes").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este:</w:t>
      </w:r>
      <w:r>
        <w:t xml:space="preserve"> clientes grandes são consultados repetidamente pelos mesmos dados; devolver do Redis em vez de ir ao Aurora corta latência e carga do banco. Como o dado só muda 1x/dia, o cache é altamente eficaz (baixo risco de servir dado velho dentro do ciclo).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pode ser fase 2:</w:t>
      </w:r>
      <w:r>
        <w:t xml:space="preserve"> não é pré-requisito de correção, é otimização. O sistema funciona sem ele, só com mais carga no Aurora. É a peça de </w:t>
      </w:r>
      <w:r>
        <w:rPr>
          <w:b/>
          <w:bCs/>
          <w:color w:val="0B2545"/>
        </w:rPr>
        <w:t xml:space="preserve">menor risco para adiar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toda consulta de saldo bate no Aurora; sustentável para volume moderado, mas desperdiça recursos sob alta concorrência de CNPJs repetidos.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de instância em memória. Não guarda verdade — se reiniciar, apenas repopula sob demanda.</w:t>
      </w:r>
    </w:p>
    <w:p>
      <w:pPr>
        <w:pStyle w:val="Heading3"/>
      </w:pPr>
      <w:r>
        <w:t xml:space="preserve">Backend e Entrega</w:t>
      </w:r>
    </w:p>
    <w:p>
      <w:pPr>
        <w:pStyle w:val="Heading4"/>
      </w:pPr>
      <w:r>
        <w:t xml:space="preserve">Amazon ECS Fargate (ou EKS)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executa os containers do backend Quarkus (e do Keycloak).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Fargate:</w:t>
      </w:r>
      <w:r>
        <w:t xml:space="preserve"> roda containers </w:t>
      </w:r>
      <w:r>
        <w:rPr>
          <w:b/>
          <w:bCs/>
          <w:color w:val="0B2545"/>
        </w:rPr>
        <w:t xml:space="preserve">sem gerenciar servidores/nós</w:t>
      </w:r>
      <w:r>
        <w:t xml:space="preserve"> — paga pelo que usa, escala por demanda, baixo esforço operacional. Combina com a imagem nativa (GraalVM) do Quarkus, que sobe rápido e consome pouca memória, reduzindo o custo por tarefa.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Fargate vs EKS:</w:t>
      </w:r>
      <w:r>
        <w:t xml:space="preserve"> </w:t>
      </w:r>
      <w:r>
        <w:rPr>
          <w:b/>
          <w:bCs/>
          <w:color w:val="0B2545"/>
        </w:rPr>
        <w:t xml:space="preserve">EKS</w:t>
      </w:r>
      <w:r>
        <w:t xml:space="preserve"> só se a Caixa já tiver padrão corporativo de Kubernetes e quiser aproveitá-lo; caso contrário, </w:t>
      </w:r>
      <w:r>
        <w:rPr>
          <w:b/>
          <w:bCs/>
          <w:color w:val="0B2545"/>
        </w:rPr>
        <w:t xml:space="preserve">Fargate</w:t>
      </w:r>
      <w:r>
        <w:t xml:space="preserve"> evita a complexidade de operar um cluster. (Decisão em aberto.)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seria preciso gerenciar EC2 manualmente (patching, escala, disponibilidade).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por vCPU/memória alocados durante execução.</w:t>
      </w:r>
    </w:p>
    <w:p>
      <w:pPr>
        <w:pStyle w:val="Heading4"/>
      </w:pPr>
      <w:r>
        <w:t xml:space="preserve">Amazon API Gateway + ALB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porta de entrada das APIs — roteamento, throttling, limites de requisição.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que:</w:t>
      </w:r>
      <w:r>
        <w:t xml:space="preserve"> centraliza controle de tráfego, proteção contra abuso (rate limiting) e integra com autenticação, sem embutir isso no código do backend.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o backend ficaria exposto mais diretamente e sem uma camada padronizada de controle de tráfego.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por requisição/hora. Em cenários simples, o ALB sozinho pode bastar — avaliar conforme necessidade de recursos de gateway.</w:t>
      </w:r>
    </w:p>
    <w:p>
      <w:pPr>
        <w:pStyle w:val="Heading4"/>
      </w:pPr>
      <w:r>
        <w:t xml:space="preserve">Amazon S3 + CloudFront (frontend Angular)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hospeda o frontend estático (S3) e o distribui por CDN global com cache de borda (CloudFront).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este e não servir o Angular de um servidor:</w:t>
      </w:r>
      <w:r>
        <w:t xml:space="preserve"> conteúdo estático em CDN é mais rápido para o usuário, mais barato e mais escalável que servir de aplicação. O S3 é o repositório durável; o CloudFront entrega com baixa latência e </w:t>
      </w:r>
      <w:r>
        <w:rPr>
          <w:b/>
          <w:bCs/>
          <w:color w:val="0B2545"/>
        </w:rPr>
        <w:t xml:space="preserve">termina o WAF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a entrega do frontend seria mais lenta e exigiria infraestrutura de servidor web desnecessária.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baixo (armazenamento + transferência via CDN).</w:t>
      </w:r>
    </w:p>
    <w:p>
      <w:pPr>
        <w:pStyle w:val="Heading3"/>
      </w:pPr>
      <w:r>
        <w:t xml:space="preserve">Identidade e Segurança</w:t>
      </w:r>
    </w:p>
    <w:p>
      <w:pPr>
        <w:pStyle w:val="Heading4"/>
      </w:pPr>
      <w:r>
        <w:t xml:space="preserve">Keycloak + RDS PostgreSQL (dedicado)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provedor de identidade (SSO via OIDC); o RDS persiste realms, usuários e sessões.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Keycloak e não Cognito:</w:t>
      </w:r>
      <w:r>
        <w:t xml:space="preserve"> o Keycloak é padrão de mercado, open source, e </w:t>
      </w:r>
      <w:r>
        <w:rPr>
          <w:b/>
          <w:bCs/>
          <w:color w:val="0B2545"/>
        </w:rPr>
        <w:t xml:space="preserve">federa nativamente com AD/LDAP</w:t>
      </w:r>
      <w:r>
        <w:t xml:space="preserve"> — o caminho natural de evolução para o login corporativo da Caixa. Evita amarrar a identidade a um serviço proprietário.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um RDS separado do Aurora:</w:t>
      </w:r>
      <w:r>
        <w:t xml:space="preserve"> o Keycloak </w:t>
      </w:r>
      <w:r>
        <w:rPr>
          <w:b/>
          <w:bCs/>
          <w:color w:val="0B2545"/>
        </w:rPr>
        <w:t xml:space="preserve">exige</w:t>
      </w:r>
      <w:r>
        <w:t xml:space="preserve"> banco próprio para funcionar; mantê-lo isolado do banco de negócio é boa prática de segurança e separação de responsabilidades (a "portaria" não compartilha base com os dados).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não haveria SSO nem base de usuários; o controle de acesso teria de ser construído do zero.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do container do Keycloak + instância RDS pequena. Na </w:t>
      </w:r>
      <w:r>
        <w:rPr>
          <w:b/>
          <w:bCs/>
          <w:color w:val="0B2545"/>
        </w:rPr>
        <w:t xml:space="preserve">fase 1</w:t>
      </w:r>
      <w:r>
        <w:t xml:space="preserve"> opera com base própria; a federação com o AD da Caixa é evolução futura.</w:t>
      </w:r>
    </w:p>
    <w:p>
      <w:pPr>
        <w:pStyle w:val="Heading4"/>
      </w:pPr>
      <w:r>
        <w:t xml:space="preserve">AWS WAF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firewall de aplicação no CloudFront/API Gateway — bloqueia ataques comuns (injeção, bots, picos maliciosos).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que:</w:t>
      </w:r>
      <w:r>
        <w:t xml:space="preserve"> portal exposto de uma instituição financeira exige proteção de borda contra ameaças web; é controle de segurança esperado em revisão de compliance.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o portal ficaria exposto a ataques web comuns sem uma primeira linha de defesa.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por regra/requisição inspecionada.</w:t>
      </w:r>
    </w:p>
    <w:p>
      <w:pPr>
        <w:pStyle w:val="Heading4"/>
      </w:pPr>
      <w:r>
        <w:t xml:space="preserve">AWS Secrets Manager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guarda credenciais (Aurora, OpenSearch, Keycloak) de forma cifrada, com rotação.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 e não variáveis de ambiente/arquivo:</w:t>
      </w:r>
      <w:r>
        <w:t xml:space="preserve"> evita segredos em texto plano em configuração ou código; permite rotação e auditoria de acesso — requisito de segurança para dados financeiros.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risco de vazamento de credenciais em configuração ou repositório.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por segredo armazenado/chamadas de API.</w:t>
      </w:r>
    </w:p>
    <w:p>
      <w:pPr>
        <w:pStyle w:val="Heading4"/>
      </w:pPr>
      <w:r>
        <w:t xml:space="preserve">Amazon CloudWatch + AWS X-Ray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Função:</w:t>
      </w:r>
      <w:r>
        <w:t xml:space="preserve"> observabilidade — logs, métricas, alarmes (CloudWatch) e rastreamento distribuído de requisições (X-Ray).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Por que:</w:t>
      </w:r>
      <w:r>
        <w:t xml:space="preserve"> operar sem visibilidade de latência, erros e gargalos é inviável, ainda mais num sistema cujo objetivo é performance. Permite validar que o agregado por CNPJ e o cache estão de fato entregando o ganho esperado.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Sem ele:</w:t>
      </w:r>
      <w:r>
        <w:t xml:space="preserve"> diagnosticar lentidão ou falha na carga diária seria às cegas.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Implicações:</w:t>
      </w:r>
      <w:r>
        <w:t xml:space="preserve"> custo por volume de logs/métricas; aplicar retenção adequada.</w:t>
      </w:r>
    </w:p>
    <w:p>
      <w:pPr>
        <w:pStyle w:val="Heading1"/>
        <w:pageBreakBefore/>
      </w:pPr>
      <w:r>
        <w:t xml:space="preserve">5. As Bases de Dados — Papéis e Relacionamento</w:t>
      </w:r>
    </w:p>
    <w:p>
      <w:pPr>
        <w:pStyle w:val="Heading2"/>
      </w:pPr>
      <w:r>
        <w:t xml:space="preserve">5.1 Papel de cada armazenamento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5"/>
        <w:gridCol w:w="3348"/>
        <w:gridCol w:w="4565"/>
      </w:tblGrid>
      <w:tr>
        <w:trPr>
          <w:tblHeader/>
        </w:trPr>
        <w:tc>
          <w:tcPr>
            <w:tcW w:type="dxa" w:w="17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Armazenamento</w:t>
            </w:r>
          </w:p>
        </w:tc>
        <w:tc>
          <w:tcPr>
            <w:tcW w:type="dxa" w:w="334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Guarda o quê</w:t>
            </w:r>
          </w:p>
        </w:tc>
        <w:tc>
          <w:tcPr>
            <w:tcW w:type="dxa" w:w="456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17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0B2545"/>
                <w:sz w:val="19"/>
                <w:szCs w:val="19"/>
              </w:rPr>
              <w:t xml:space="preserve">RDS (Keycloak)</w:t>
            </w:r>
          </w:p>
        </w:tc>
        <w:tc>
          <w:tcPr>
            <w:tcW w:type="dxa" w:w="334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usuários, realms, sessões</w:t>
            </w:r>
          </w:p>
        </w:tc>
        <w:tc>
          <w:tcPr>
            <w:tcW w:type="dxa" w:w="456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Identidade/login — isolado do negócio</w:t>
            </w:r>
          </w:p>
        </w:tc>
      </w:tr>
      <w:tr>
        <w:tc>
          <w:tcPr>
            <w:tcW w:type="dxa" w:w="17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0B2545"/>
                <w:sz w:val="19"/>
                <w:szCs w:val="19"/>
              </w:rPr>
              <w:t xml:space="preserve">Aurora PostgreSQL</w:t>
            </w:r>
          </w:p>
        </w:tc>
        <w:tc>
          <w:tcPr>
            <w:tcW w:type="dxa" w:w="334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dados do negócio + </w:t>
            </w:r>
            <w:r>
              <w:rPr>
                <w:rFonts w:ascii="Consolas" w:cs="Consolas" w:eastAsia="Consolas" w:hAnsi="Consolas"/>
                <w:color w:val="A4262C"/>
                <w:sz w:val="19"/>
                <w:szCs w:val="19"/>
                <w:shd w:fill="F1F1F1" w:color="auto" w:val="clear"/>
              </w:rPr>
              <w:t xml:space="preserve">saldo_por_cnpj</w:t>
            </w:r>
          </w:p>
        </w:tc>
        <w:tc>
          <w:tcPr>
            <w:tcW w:type="dxa" w:w="456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0B2545"/>
                <w:sz w:val="19"/>
                <w:szCs w:val="19"/>
              </w:rPr>
              <w:t xml:space="preserve">A fonte da verdade na AWS</w:t>
            </w:r>
            <w:r>
              <w:rPr>
                <w:sz w:val="19"/>
                <w:szCs w:val="19"/>
              </w:rPr>
              <w:t xml:space="preserve">; consulta por chave</w:t>
            </w:r>
          </w:p>
        </w:tc>
      </w:tr>
      <w:tr>
        <w:tc>
          <w:tcPr>
            <w:tcW w:type="dxa" w:w="17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0B2545"/>
                <w:sz w:val="19"/>
                <w:szCs w:val="19"/>
              </w:rPr>
              <w:t xml:space="preserve">OpenSearch</w:t>
            </w:r>
          </w:p>
        </w:tc>
        <w:tc>
          <w:tcPr>
            <w:tcW w:type="dxa" w:w="334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cópia indexada para busca</w:t>
            </w:r>
          </w:p>
        </w:tc>
        <w:tc>
          <w:tcPr>
            <w:tcW w:type="dxa" w:w="456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Buscar e paginar listas grandes (fan-out)</w:t>
            </w:r>
          </w:p>
        </w:tc>
      </w:tr>
      <w:tr>
        <w:tc>
          <w:tcPr>
            <w:tcW w:type="dxa" w:w="172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0B2545"/>
                <w:sz w:val="19"/>
                <w:szCs w:val="19"/>
              </w:rPr>
              <w:t xml:space="preserve">Redis</w:t>
            </w:r>
          </w:p>
        </w:tc>
        <w:tc>
          <w:tcPr>
            <w:tcW w:type="dxa" w:w="3348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cópias temporárias</w:t>
            </w:r>
          </w:p>
        </w:tc>
        <w:tc>
          <w:tcPr>
            <w:tcW w:type="dxa" w:w="4565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Acelerar o que repete</w:t>
            </w:r>
          </w:p>
        </w:tc>
      </w:tr>
    </w:tbl>
    <w:p>
      <w:pPr>
        <w:spacing w:after="120"/>
      </w:pPr>
    </w:p>
    <w:p>
      <w:pPr>
        <w:pBdr>
          <w:left w:val="single" w:color="005CA9" w:sz="24" w:space="10"/>
        </w:pBdr>
        <w:shd w:fill="EAF2FB" w:color="auto" w:val="clear"/>
        <w:spacing w:after="200" w:before="200" w:line="288"/>
        <w:ind w:left="200" w:right="200"/>
      </w:pPr>
      <w:r>
        <w:rPr>
          <w:sz w:val="20"/>
          <w:szCs w:val="20"/>
        </w:rPr>
        <w:t xml:space="preserve">A informação "de verdade" mora no </w:t>
      </w:r>
      <w:r>
        <w:rPr>
          <w:b/>
          <w:bCs/>
          <w:color w:val="0B2545"/>
          <w:sz w:val="20"/>
          <w:szCs w:val="20"/>
        </w:rPr>
        <w:t xml:space="preserve">Aurora</w:t>
      </w:r>
      <w:r>
        <w:rPr>
          <w:sz w:val="20"/>
          <w:szCs w:val="20"/>
        </w:rPr>
        <w:t xml:space="preserve">. OpenSearch e Redis são </w:t>
      </w:r>
      <w:r>
        <w:rPr>
          <w:b/>
          <w:bCs/>
          <w:color w:val="0B2545"/>
          <w:sz w:val="20"/>
          <w:szCs w:val="20"/>
        </w:rPr>
        <w:t xml:space="preserve">cópias derivadas</w:t>
      </w:r>
      <w:r>
        <w:rPr>
          <w:sz w:val="20"/>
          <w:szCs w:val="20"/>
        </w:rPr>
        <w:t xml:space="preserve"> para resolver busca e velocidade. Por isso a carga diária escreve nos três.</w:t>
      </w:r>
    </w:p>
    <w:p>
      <w:pPr>
        <w:pStyle w:val="Heading2"/>
      </w:pPr>
      <w:r>
        <w:t xml:space="preserve">5.2 Como os três se "relacionam"</w:t>
      </w:r>
    </w:p>
    <w:p>
      <w:pPr>
        <w:spacing w:after="160" w:line="300"/>
        <w:jc w:val="both"/>
      </w:pPr>
      <w:r>
        <w:rPr>
          <w:b/>
          <w:bCs/>
          <w:color w:val="0B2545"/>
        </w:rPr>
        <w:t xml:space="preserve">Não há relacionamento em nível de banco</w:t>
      </w:r>
      <w:r>
        <w:t xml:space="preserve"> (sem foreign key, join ou integridade referencial cruzando os três). A coordenação é feita por </w:t>
      </w:r>
      <w:r>
        <w:rPr>
          <w:b/>
          <w:bCs/>
          <w:color w:val="0B2545"/>
        </w:rPr>
        <w:t xml:space="preserve">código, em dois níveis distintos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Escrita/sincronização</w:t>
      </w:r>
      <w:r>
        <w:t xml:space="preserve"> — responsabilidade do </w:t>
      </w:r>
      <w:r>
        <w:rPr>
          <w:b/>
          <w:bCs/>
          <w:color w:val="0B2545"/>
        </w:rPr>
        <w:t xml:space="preserve">pipeline de carga</w:t>
      </w:r>
      <w:r>
        <w:t xml:space="preserve"> (Glue/Lambda). Os três recebem a mesma carga, da mesma fonte, no mesmo ciclo. A consistência entre eles é garantida aqui.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Leitura/roteamento</w:t>
      </w:r>
      <w:r>
        <w:t xml:space="preserve"> — responsabilidade do </w:t>
      </w:r>
      <w:r>
        <w:rPr>
          <w:b/>
          <w:bCs/>
          <w:color w:val="0B2545"/>
        </w:rPr>
        <w:t xml:space="preserve">backend Quarkus</w:t>
      </w:r>
      <w:r>
        <w:t xml:space="preserve">. O Java </w:t>
      </w:r>
      <w:r>
        <w:rPr>
          <w:b/>
          <w:bCs/>
          <w:color w:val="0B2545"/>
        </w:rPr>
        <w:t xml:space="preserve">não faz join entre os bancos</w:t>
      </w:r>
      <w:r>
        <w:t xml:space="preserve">; ele </w:t>
      </w:r>
      <w:r>
        <w:rPr>
          <w:b/>
          <w:bCs/>
          <w:color w:val="0B2545"/>
        </w:rPr>
        <w:t xml:space="preserve">roteia</w:t>
      </w:r>
      <w:r>
        <w:t xml:space="preserve"> cada operação para o banco cujo formato já está pronto para respondê-la.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7"/>
        <w:gridCol w:w="5841"/>
      </w:tblGrid>
      <w:tr>
        <w:trPr>
          <w:tblHeader/>
        </w:trPr>
        <w:tc>
          <w:tcPr>
            <w:tcW w:type="dxa" w:w="379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Operação</w:t>
            </w:r>
          </w:p>
        </w:tc>
        <w:tc>
          <w:tcPr>
            <w:tcW w:type="dxa" w:w="584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Banco consultado</w:t>
            </w:r>
          </w:p>
        </w:tc>
      </w:tr>
      <w:tr>
        <w:tc>
          <w:tcPr>
            <w:tcW w:type="dxa" w:w="379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Saldo por CNPJ</w:t>
            </w:r>
          </w:p>
        </w:tc>
        <w:tc>
          <w:tcPr>
            <w:tcW w:type="dxa" w:w="584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Redis (cache) → Aurora (agregado pronto)</w:t>
            </w:r>
          </w:p>
        </w:tc>
      </w:tr>
      <w:tr>
        <w:tc>
          <w:tcPr>
            <w:tcW w:type="dxa" w:w="379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Busca / listagem (fan-out)</w:t>
            </w:r>
          </w:p>
        </w:tc>
        <w:tc>
          <w:tcPr>
            <w:tcW w:type="dxa" w:w="584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OpenSearch</w:t>
            </w:r>
          </w:p>
        </w:tc>
      </w:tr>
      <w:tr>
        <w:tc>
          <w:tcPr>
            <w:tcW w:type="dxa" w:w="379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Detalhe de uma conta</w:t>
            </w:r>
          </w:p>
        </w:tc>
        <w:tc>
          <w:tcPr>
            <w:tcW w:type="dxa" w:w="5841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Aurora (por chave)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Modelo de Dados do Espelho (Aurora)</w:t>
      </w:r>
    </w:p>
    <w:p>
      <w:pPr>
        <w:pBdr>
          <w:left w:val="single" w:color="F39200" w:sz="24" w:space="10"/>
        </w:pBdr>
        <w:shd w:fill="FFF6E5" w:color="auto" w:val="clear"/>
        <w:spacing w:after="60" w:before="200" w:line="288"/>
        <w:ind w:left="200" w:right="200"/>
      </w:pPr>
      <w:r>
        <w:rPr>
          <w:b/>
          <w:bCs/>
          <w:color w:val="0B2545"/>
          <w:sz w:val="20"/>
          <w:szCs w:val="20"/>
        </w:rPr>
        <w:t xml:space="preserve">Decisões em aberto</w:t>
      </w:r>
      <w:r>
        <w:rPr>
          <w:sz w:val="20"/>
          <w:szCs w:val="20"/>
        </w:rPr>
        <w:t xml:space="preserve"> (a confirmar com a equipe da base negocial — valores abaixo são suposições seguras):</w:t>
      </w:r>
    </w:p>
    <w:p>
      <w:pPr>
        <w:pBdr>
          <w:left w:val="single" w:color="F39200" w:sz="24" w:space="10"/>
        </w:pBdr>
        <w:shd w:fill="FFF6E5" w:color="auto" w:val="clear"/>
        <w:spacing w:after="60" w:before="0" w:line="288"/>
        <w:ind w:left="200" w:right="200"/>
      </w:pPr>
      <w:r>
        <w:rPr>
          <w:sz w:val="20"/>
          <w:szCs w:val="20"/>
        </w:rPr>
        <w:t xml:space="preserve">•  </w:t>
      </w:r>
      <w:r>
        <w:rPr>
          <w:b/>
          <w:bCs/>
          <w:color w:val="0B2545"/>
          <w:sz w:val="20"/>
          <w:szCs w:val="20"/>
        </w:rPr>
        <w:t xml:space="preserve">Saldo</w:t>
      </w:r>
      <w:r>
        <w:rPr>
          <w:sz w:val="20"/>
          <w:szCs w:val="20"/>
        </w:rPr>
        <w:t xml:space="preserve">: assumido como somatório dos depósitos (A10). Se a A08 já tiver saldo pronto, o agregado simplifica.</w:t>
      </w:r>
    </w:p>
    <w:p>
      <w:pPr>
        <w:pBdr>
          <w:left w:val="single" w:color="F39200" w:sz="24" w:space="10"/>
        </w:pBdr>
        <w:shd w:fill="FFF6E5" w:color="auto" w:val="clear"/>
        <w:spacing w:after="60" w:before="0" w:line="288"/>
        <w:ind w:left="200" w:right="200"/>
      </w:pPr>
      <w:r>
        <w:rPr>
          <w:sz w:val="20"/>
          <w:szCs w:val="20"/>
        </w:rPr>
        <w:t xml:space="preserve">•  </w:t>
      </w:r>
      <w:r>
        <w:rPr>
          <w:b/>
          <w:bCs/>
          <w:color w:val="0B2545"/>
          <w:sz w:val="20"/>
          <w:szCs w:val="20"/>
        </w:rPr>
        <w:t xml:space="preserve">CNPJ → contas</w:t>
      </w:r>
      <w:r>
        <w:rPr>
          <w:sz w:val="20"/>
          <w:szCs w:val="20"/>
        </w:rPr>
        <w:t xml:space="preserve">: assumida a ligação via B06 (cruzamento); </w:t>
      </w:r>
      <w:r>
        <w:rPr>
          <w:b/>
          <w:bCs/>
          <w:color w:val="0B2545"/>
          <w:sz w:val="20"/>
          <w:szCs w:val="20"/>
        </w:rPr>
        <w:t xml:space="preserve">partes/CPF</w:t>
      </w:r>
      <w:r>
        <w:rPr>
          <w:sz w:val="20"/>
          <w:szCs w:val="20"/>
        </w:rPr>
        <w:t xml:space="preserve"> via J06.</w:t>
      </w:r>
    </w:p>
    <w:p>
      <w:pPr>
        <w:pBdr>
          <w:left w:val="single" w:color="F39200" w:sz="24" w:space="10"/>
        </w:pBdr>
        <w:shd w:fill="FFF6E5" w:color="auto" w:val="clear"/>
        <w:spacing w:after="200" w:before="0" w:line="288"/>
        <w:ind w:left="200" w:right="200"/>
      </w:pPr>
      <w:r>
        <w:rPr>
          <w:sz w:val="20"/>
          <w:szCs w:val="20"/>
        </w:rPr>
        <w:t xml:space="preserve">•  </w:t>
      </w:r>
      <w:r>
        <w:rPr>
          <w:b/>
          <w:bCs/>
          <w:color w:val="0B2545"/>
          <w:sz w:val="20"/>
          <w:szCs w:val="20"/>
        </w:rPr>
        <w:t xml:space="preserve">Delta diário</w:t>
      </w:r>
      <w:r>
        <w:rPr>
          <w:sz w:val="20"/>
          <w:szCs w:val="20"/>
        </w:rPr>
        <w:t xml:space="preserve">: assumido que o mainframe envia apenas registros alterados.</w:t>
      </w:r>
    </w:p>
    <w:p>
      <w:pPr>
        <w:pStyle w:val="Heading2"/>
      </w:pPr>
      <w:r>
        <w:t xml:space="preserve">6.1 Tabelas de origem (DB2)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2"/>
        <w:gridCol w:w="7986"/>
      </w:tblGrid>
      <w:tr>
        <w:trPr>
          <w:tblHeader/>
        </w:trPr>
        <w:tc>
          <w:tcPr>
            <w:tcW w:type="dxa" w:w="16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798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16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A08</w:t>
            </w:r>
          </w:p>
        </w:tc>
        <w:tc>
          <w:tcPr>
            <w:tcW w:type="dxa" w:w="798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Conta (~100 colunas)</w:t>
            </w:r>
          </w:p>
        </w:tc>
      </w:tr>
      <w:tr>
        <w:tc>
          <w:tcPr>
            <w:tcW w:type="dxa" w:w="16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A10</w:t>
            </w:r>
          </w:p>
        </w:tc>
        <w:tc>
          <w:tcPr>
            <w:tcW w:type="dxa" w:w="798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Depósito</w:t>
            </w:r>
          </w:p>
        </w:tc>
      </w:tr>
      <w:tr>
        <w:tc>
          <w:tcPr>
            <w:tcW w:type="dxa" w:w="16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A11</w:t>
            </w:r>
          </w:p>
        </w:tc>
        <w:tc>
          <w:tcPr>
            <w:tcW w:type="dxa" w:w="798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16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A20</w:t>
            </w:r>
          </w:p>
        </w:tc>
        <w:tc>
          <w:tcPr>
            <w:tcW w:type="dxa" w:w="798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Processo</w:t>
            </w:r>
          </w:p>
        </w:tc>
      </w:tr>
      <w:tr>
        <w:tc>
          <w:tcPr>
            <w:tcW w:type="dxa" w:w="16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B06</w:t>
            </w:r>
          </w:p>
        </w:tc>
        <w:tc>
          <w:tcPr>
            <w:tcW w:type="dxa" w:w="798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Cruzamento (relacionamento)</w:t>
            </w:r>
          </w:p>
        </w:tc>
      </w:tr>
      <w:tr>
        <w:tc>
          <w:tcPr>
            <w:tcW w:type="dxa" w:w="1652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J06</w:t>
            </w:r>
          </w:p>
        </w:tc>
        <w:tc>
          <w:tcPr>
            <w:tcW w:type="dxa" w:w="7986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Partes envolvidas no processo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DDL proposto (espelho desnormalizado)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SQL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-- Conta judicial (espelho da A08, colunas relevantes para consulta)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TABLE conta (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id_conta        BIGINT PRIMARY KEY,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cnpj            VARCHAR(14) NOT NULL,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numero_conta    VARCHAR(30) NOT NULL,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saldo_atual     NUMERIC(18,2) NOT NULL DEFAULT 0,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situacao        VARCHAR(20),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atualizado_em   TIMESTAMP NOT NULL DEFAULT now()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INDEX idx_conta_cnpj ON conta (cnpj);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-- Depósitos (espelho da A10)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TABLE deposito (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id_deposito     BIGINT PRIMARY KEY,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id_conta        BIGINT NOT NULL REFERENCES conta(id_conta),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valor           NUMERIC(18,2) NOT NULL,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data_deposito   DATE NOT NULL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INDEX idx_deposito_conta ON deposito (id_conta);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-- Processos (espelho da A20)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TABLE processo (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id_processo     BIGINT PRIMARY KEY,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numero_processo VARCHAR(30) NOT NULL,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id_conta        BIGINT REFERENCES conta(id_conta),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situacao        VARCHAR(20)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INDEX idx_processo_conta ON processo (id_conta);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-- Partes envolvidas (espelho da J06)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TABLE parte_processo (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id_parte        BIGINT PRIMARY KEY,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id_processo     BIGINT NOT NULL REFERENCES processo(id_processo),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documento       VARCHAR(14) NOT NULL,   -- CPF/CNPJ da parte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nome            VARCHAR(200)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INDEX idx_parte_processo ON parte_processo (id_processo);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-- AGREGADO pré-computado por CNPJ (o coração da performance)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-- Preenchido pela carga diária; consulta de saldo vira leitura por chave.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CREATE TABLE saldo_por_cnpj (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cnpj              VARCHAR(14) PRIMARY KEY,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saldo_total       NUMERIC(18,2) NOT NULL,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qtd_contas        INTEGER NOT NULL,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qtd_processos     INTEGER NOT NULL,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atualizado_em     TIMESTAMP NOT NULL DEFAULT now()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);</w:t>
      </w:r>
    </w:p>
    <w:p>
      <w:pPr>
        <w:pStyle w:val="Heading2"/>
      </w:pPr>
      <w:r>
        <w:t xml:space="preserve">6.3 Recálculo do agregado (executado na carga diária)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SQL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-- Exemplo: recalcula o agregado de UM CNPJ após aplicar os updates do dia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INSERT INTO saldo_por_cnpj (cnpj, saldo_total, qtd_contas, qtd_processos, atualizado_em)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SELECT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c.cnpj,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COALESCE(SUM(c.saldo_atual), 0)        AS saldo_total,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COUNT(DISTINCT c.id_conta)             AS qtd_contas,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COUNT(DISTINCT p.id_processo)          AS qtd_processos,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now()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FROM conta c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LEFT JOIN processo p ON p.id_conta = c.id_conta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WHERE c.cnpj = :cnpj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GROUP BY c.cnpj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ON CONFLICT (cnpj) DO UPDATE SET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saldo_total   = EXCLUDED.saldo_total,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qtd_contas    = EXCLUDED.qtd_contas,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qtd_processos = EXCLUDED.qtd_processos,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atualizado_em = EXCLUDED.atualizado_em;</w:t>
      </w:r>
    </w:p>
    <w:p>
      <w:pPr>
        <w:pStyle w:val="Heading1"/>
        <w:pageBreakBefore/>
      </w:pPr>
      <w:r>
        <w:t xml:space="preserve">7. Mapeamento OpenSearch (busca e listagens)</w:t>
      </w:r>
    </w:p>
    <w:p>
      <w:pPr>
        <w:spacing w:after="160" w:line="300"/>
        <w:jc w:val="both"/>
      </w:pPr>
      <w:r>
        <w:t xml:space="preserve">Documentos pré-montados na carga diária, indexados por CNPJ/CPF/processo.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JSON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"mappings":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"properties":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"id_conta":        { "type": "long" },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"cnpj":            { "type": "keyword" },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"numero_conta":    { "type": "keyword" },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"saldo_atual":     { "type": "double" },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"situacao":        { "type": "keyword" },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"processos":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"type": "nested",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"properties":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"numero_processo": { "type": "keyword" },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"situacao":        { "type": "keyword" },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"partes":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"type": "nested",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"properties":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  "documento": { "type": "keyword" },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  "nome":      { "type": "text"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}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}</w:t>
      </w:r>
    </w:p>
    <w:p>
      <w:pPr>
        <w:pStyle w:val="Heading1"/>
        <w:pageBreakBefore/>
      </w:pPr>
      <w:r>
        <w:t xml:space="preserve">8. Backend — Quarkus (exemplos de código)</w:t>
      </w:r>
    </w:p>
    <w:p>
      <w:pPr>
        <w:pStyle w:val="Heading2"/>
      </w:pPr>
      <w:r>
        <w:t xml:space="preserve">8.1 Dependências principais (pom.xml)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XML · pom.xml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&lt;dependencies&gt;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&lt;groupId&gt;io.quarkus&lt;/groupId&gt;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&lt;artifactId&gt;quarkus-rest-jackson&lt;/artifactId&gt;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&lt;/dependency&gt;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&lt;groupId&gt;io.quarkus&lt;/groupId&gt;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&lt;artifactId&gt;quarkus-hibernate-orm-panache&lt;/artifactId&gt;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&lt;/dependency&gt;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&lt;groupId&gt;io.quarkus&lt;/groupId&gt;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&lt;artifactId&gt;quarkus-jdbc-postgresql&lt;/artifactId&gt;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&lt;/dependency&gt;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&lt;groupId&gt;io.quarkus&lt;/groupId&gt;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&lt;artifactId&gt;quarkus-redis-client&lt;/artifactId&gt;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&lt;/dependency&gt;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&lt;groupId&gt;io.quarkus&lt;/groupId&gt;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&lt;artifactId&gt;quarkus-oidc&lt;/artifactId&gt;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&lt;/dependency&gt;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&lt;dependency&gt;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&lt;groupId&gt;io.quarkus&lt;/groupId&gt;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&lt;artifactId&gt;quarkus-elasticsearch-rest-client&lt;/artifactId&gt;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&lt;/dependency&gt;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&lt;/dependencies&gt;</w:t>
      </w:r>
    </w:p>
    <w:p>
      <w:pPr>
        <w:pStyle w:val="Heading2"/>
      </w:pPr>
      <w:r>
        <w:t xml:space="preserve">8.2 Configuração (application.properties)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PROPERTIES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# Aurora PostgreSQL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quarkus.datasource.db-kind=postgresql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quarkus.datasource.jdbc.url=jdbc:postgresql://aurora-endpoint:5432/portal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quarkus.datasource.username=${DB_USER}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quarkus.datasource.password=${DB_PASSWORD}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# Redis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quarkus.redis.hosts=redis://elasticache-endpoint:6379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# OpenSearch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quarkus.elasticsearch.hosts=opensearch-endpoint:443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quarkus.elasticsearch.protocol=https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# Keycloak (OIDC)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quarkus.oidc.auth-server-url=https://keycloak.seu-dominio/realms/portal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quarkus.oidc.client-id=portal-backend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quarkus.oidc.application-type=service</w:t>
      </w:r>
    </w:p>
    <w:p>
      <w:pPr>
        <w:pStyle w:val="Heading2"/>
      </w:pPr>
      <w:r>
        <w:t xml:space="preserve">8.3 Entidade e repositório (Panache)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JAVA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@Entity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@Table(name = "saldo_por_cnpj")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public class SaldoPorCnpj extends PanacheEntityBase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@Id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String cnpj;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@Column(name = "saldo_total")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BigDecimal saldoTotal;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@Column(name = "qtd_contas")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Integer qtdContas;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@Column(name = "qtd_processos")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Integer qtdProcessos;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@Column(name = "atualizado_em")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LocalDateTime atualizadoEm;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}</w:t>
      </w:r>
    </w:p>
    <w:p>
      <w:pPr>
        <w:pStyle w:val="Heading2"/>
      </w:pPr>
      <w:r>
        <w:t xml:space="preserve">8.4 Serviço de saldo — Redis na frente do Aurora</w:t>
      </w:r>
    </w:p>
    <w:p>
      <w:pPr>
        <w:spacing w:after="160" w:line="300"/>
        <w:jc w:val="both"/>
      </w:pPr>
      <w:r>
        <w:t xml:space="preserve">Padrão </w:t>
      </w:r>
      <w:r>
        <w:rPr>
          <w:b/>
          <w:bCs/>
          <w:color w:val="0B2545"/>
        </w:rPr>
        <w:t xml:space="preserve">cache-aside</w:t>
      </w:r>
      <w:r>
        <w:t xml:space="preserve">: tenta o Redis; se não houver, lê o agregado pronto no Aurora e guarda no cache. </w:t>
      </w:r>
      <w:r>
        <w:rPr>
          <w:b/>
          <w:bCs/>
          <w:color w:val="0B2545"/>
        </w:rPr>
        <w:t xml:space="preserve">Nunca soma 50k contas em tempo de requisição</w:t>
      </w:r>
      <w:r>
        <w:t xml:space="preserve"> — o trabalho pesado já foi feito na carga.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JAVA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@ApplicationScoped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public class SaldoService {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@Inject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RedisDataSource redis;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private static final Duration TTL = Duration.ofMinutes(10);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SaldoDto consultarSaldo(String cnpj) {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var cache = redis.value(SaldoDto.class);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// 1. tenta o cache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SaldoDto cached = cache.get("saldo:" + cnpj);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if (cached != null) {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return cached;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// 2. lê o agregado JA PRONTO no Aurora (leitura por chave)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SaldoPorCnpj agregado = SaldoPorCnpj.findById(cnpj);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if (agregado == null) {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throw new NotFoundException("CNPJ sem contas judiciais: " + cnpj);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}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SaldoDto dto = new SaldoDto(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agregado.cnpj,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agregado.saldoTotal,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agregado.qtdContas,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agregado.qtdProcessos,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agregado.atualizadoEm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// 3. guarda no cache para as próximas consultas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cache.setex("saldo:" + cnpj, TTL.toSeconds(), dto);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return dto;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}</w:t>
      </w:r>
    </w:p>
    <w:p>
      <w:pPr>
        <w:pStyle w:val="Heading2"/>
      </w:pPr>
      <w:r>
        <w:t xml:space="preserve">8.5 Serviço de listagem — direto no OpenSearch (fan-out paginado)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JAVA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@ApplicationScoped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public class ProcessoService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@Inject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RestClient openSearch; // cliente OpenSearch/Elasticsearch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PaginaDto&lt;ProcessoDto&gt; listarProcessosPorCnpj(String cnpj, int pagina, int tamanho)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// A busca e a paginação de dezenas de milhares de itens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// ficam no OpenSearch, nao no Postgres.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var query = """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  "from": %d,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  "size": %d,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  "query": { "term": { "cnpj": "%s" }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""".formatted(pagina * tamanho, tamanho, cnpj);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// (execução da query e mapeamento do resultado omitidos por brevidade)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return OpenSearchMapper.toPagina(openSearch.search("contas", query));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}</w:t>
      </w:r>
    </w:p>
    <w:p>
      <w:pPr>
        <w:pStyle w:val="Heading2"/>
      </w:pPr>
      <w:r>
        <w:t xml:space="preserve">8.6 Endpoint REST protegido por JWT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JAVA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@Path("/api/cnpj/{cnpj}")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@Produces(MediaType.APPLICATION_JSON)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@Authenticated // exige token válido emitido pelo Keycloak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public class ConsultaResource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@Inject SaldoService saldoService;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@Inject ProcessoService processoService;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@GET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@Path("/saldo")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SaldoDto saldo(@PathParam("cnpj") String cnpj)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return saldoService.consultarSaldo(cnpj);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}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@GET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@Path("/processos")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public PaginaDto&lt;ProcessoDto&gt; processos(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@PathParam("cnpj") String cnpj,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@QueryParam("pagina") @DefaultValue("0") int pagina,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    @QueryParam("tamanho") @DefaultValue("50") int tamanho)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    return processoService.listarProcessosPorCnpj(cnpj, pagina, tamanho);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}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}</w:t>
      </w:r>
    </w:p>
    <w:p>
      <w:pPr>
        <w:pStyle w:val="Heading1"/>
      </w:pPr>
      <w:r>
        <w:t xml:space="preserve">9. Frontend — Angular (pontos-chave)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Autenticação OIDC</w:t>
      </w:r>
      <w:r>
        <w:t xml:space="preserve"> com </w:t>
      </w:r>
      <w:r>
        <w:rPr>
          <w:rFonts w:ascii="Consolas" w:cs="Consolas" w:eastAsia="Consolas" w:hAnsi="Consolas"/>
          <w:color w:val="A4262C"/>
          <w:sz w:val="19"/>
          <w:szCs w:val="19"/>
          <w:shd w:fill="F1F1F1" w:color="auto" w:val="clear"/>
        </w:rPr>
        <w:t xml:space="preserve">angular-oauth2-oidc</w:t>
      </w:r>
      <w:r>
        <w:t xml:space="preserve"> ou </w:t>
      </w:r>
      <w:r>
        <w:rPr>
          <w:rFonts w:ascii="Consolas" w:cs="Consolas" w:eastAsia="Consolas" w:hAnsi="Consolas"/>
          <w:color w:val="A4262C"/>
          <w:sz w:val="19"/>
          <w:szCs w:val="19"/>
          <w:shd w:fill="F1F1F1" w:color="auto" w:val="clear"/>
        </w:rPr>
        <w:t xml:space="preserve">keycloak-angular</w:t>
      </w:r>
      <w:r>
        <w:t xml:space="preserve"> (Authorization Code + PKCE), redirecionando para o Keycloak.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Listas virtualizadas/paginadas</w:t>
      </w:r>
      <w:r>
        <w:t xml:space="preserve"> com CDK Virtual Scroll — a UI nunca renderiza 50k linhas; pede página por página à API.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Build estático publicado em </w:t>
      </w:r>
      <w:r>
        <w:rPr>
          <w:b/>
          <w:bCs/>
          <w:color w:val="0B2545"/>
        </w:rPr>
        <w:t xml:space="preserve">S3 + CloudFront</w:t>
      </w:r>
      <w:r>
        <w:t xml:space="preserve">.</w:t>
      </w:r>
    </w:p>
    <w:p>
      <w:pPr>
        <w:keepNext/>
        <w:pBdr>
          <w:left w:val="single" w:color="005CA9" w:sz="18" w:space="8"/>
        </w:pBdr>
        <w:shd w:fill="DCE6F1" w:color="auto" w:val="clear"/>
        <w:spacing w:after="0" w:before="160"/>
      </w:pPr>
      <w:r>
        <w:rPr>
          <w:rFonts w:ascii="Calibri" w:cs="Calibri" w:eastAsia="Calibri" w:hAnsi="Calibri"/>
          <w:b/>
          <w:bCs/>
          <w:color w:val="005CA9"/>
          <w:spacing w:val="20"/>
          <w:sz w:val="15"/>
          <w:szCs w:val="15"/>
        </w:rPr>
        <w:t xml:space="preserve">TYPESCRIPT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// Exemplo: consumo paginado da listagem de processos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listarProcessos(cnpj: string, pagina: number, tamanho = 50): Observable&lt;Pagina&lt;Processo&gt;&gt; {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const params = new HttpParams()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.set('pagina', pagina)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  .set('tamanho', tamanho);</w:t>
      </w:r>
    </w:p>
    <w:p>
      <w:pPr>
        <w:keepNext/>
        <w:keepLines/>
        <w:pBdr>
          <w:left w:val="single" w:color="005CA9" w:sz="18" w:space="8"/>
        </w:pBdr>
        <w:shd w:fill="F4F6F8" w:color="auto" w:val="clear"/>
        <w:spacing w:after="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  return this.http.get&lt;Pagina&lt;Processo&gt;&gt;(`/api/cnpj/${cnpj}/processos`, { params });</w:t>
      </w:r>
    </w:p>
    <w:p>
      <w:pPr>
        <w:keepNext w:val="false"/>
        <w:keepLines/>
        <w:pBdr>
          <w:left w:val="single" w:color="005CA9" w:sz="18" w:space="8"/>
        </w:pBdr>
        <w:shd w:fill="F4F6F8" w:color="auto" w:val="clear"/>
        <w:spacing w:after="200" w:before="0" w:line="240"/>
      </w:pPr>
      <w:r>
        <w:rPr>
          <w:rFonts w:ascii="Consolas" w:cs="Consolas" w:eastAsia="Consolas" w:hAnsi="Consolas"/>
          <w:color w:val="1F2933"/>
          <w:sz w:val="16"/>
          <w:szCs w:val="16"/>
        </w:rPr>
        <w:t xml:space="preserve">}</w:t>
      </w:r>
    </w:p>
    <w:p>
      <w:pPr>
        <w:pStyle w:val="Heading1"/>
      </w:pPr>
      <w:r>
        <w:t xml:space="preserve">10. Identidade e Segurança (SSO)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Keycloak</w:t>
      </w:r>
      <w:r>
        <w:t xml:space="preserve"> hospedado na AWS, com </w:t>
      </w:r>
      <w:r>
        <w:rPr>
          <w:b/>
          <w:bCs/>
          <w:color w:val="0B2545"/>
        </w:rPr>
        <w:t xml:space="preserve">base de usuários própria</w:t>
      </w:r>
      <w:r>
        <w:t xml:space="preserve"> (fase 1).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Fluxo </w:t>
      </w:r>
      <w:r>
        <w:rPr>
          <w:b/>
          <w:bCs/>
          <w:color w:val="0B2545"/>
        </w:rPr>
        <w:t xml:space="preserve">OIDC Authorization Code + PKCE</w:t>
      </w:r>
      <w:r>
        <w:t xml:space="preserve">: Angular autentica no Keycloak → recebe JWT → Quarkus valida o token (</w:t>
      </w:r>
      <w:r>
        <w:rPr>
          <w:rFonts w:ascii="Consolas" w:cs="Consolas" w:eastAsia="Consolas" w:hAnsi="Consolas"/>
          <w:color w:val="A4262C"/>
          <w:sz w:val="19"/>
          <w:szCs w:val="19"/>
          <w:shd w:fill="F1F1F1" w:color="auto" w:val="clear"/>
        </w:rPr>
        <w:t xml:space="preserve">quarkus-oidc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Evolução futura:</w:t>
      </w:r>
      <w:r>
        <w:t xml:space="preserve"> federar o Keycloak com o </w:t>
      </w:r>
      <w:r>
        <w:rPr>
          <w:b/>
          <w:bCs/>
          <w:color w:val="0B2545"/>
        </w:rPr>
        <w:t xml:space="preserve">AD/LDAP da Caixa</w:t>
      </w:r>
      <w:r>
        <w:t xml:space="preserve"> para login corporativo único, sem alterar o restante da arquitetura.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Transversais: </w:t>
      </w:r>
      <w:r>
        <w:rPr>
          <w:b/>
          <w:bCs/>
          <w:color w:val="0B2545"/>
        </w:rPr>
        <w:t xml:space="preserve">WAF</w:t>
      </w:r>
      <w:r>
        <w:t xml:space="preserve"> no CloudFront, </w:t>
      </w:r>
      <w:r>
        <w:rPr>
          <w:b/>
          <w:bCs/>
          <w:color w:val="0B2545"/>
        </w:rPr>
        <w:t xml:space="preserve">Secrets Manager</w:t>
      </w:r>
      <w:r>
        <w:t xml:space="preserve"> para credenciais, </w:t>
      </w:r>
      <w:r>
        <w:rPr>
          <w:b/>
          <w:bCs/>
          <w:color w:val="0B2545"/>
        </w:rPr>
        <w:t xml:space="preserve">CloudWatch + X-Ray</w:t>
      </w:r>
      <w:r>
        <w:t xml:space="preserve"> para observabilidade.</w:t>
      </w:r>
    </w:p>
    <w:p>
      <w:pPr>
        <w:pStyle w:val="Heading1"/>
        <w:pageBreakBefore/>
      </w:pPr>
      <w:r>
        <w:t xml:space="preserve">11. Estratégia de Sincronização (consistência entre os três bancos)</w:t>
      </w:r>
    </w:p>
    <w:p>
      <w:pPr>
        <w:spacing w:after="160" w:line="300"/>
        <w:jc w:val="both"/>
      </w:pPr>
      <w:r>
        <w:t xml:space="preserve">A coerência entre Aurora, OpenSearch e Redis é responsabilidade do </w:t>
      </w:r>
      <w:r>
        <w:rPr>
          <w:b/>
          <w:bCs/>
          <w:color w:val="0B2545"/>
        </w:rPr>
        <w:t xml:space="preserve">pipeline de carga</w:t>
      </w:r>
      <w:r>
        <w:t xml:space="preserve">, não do backend: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A carga processa o arquivo do dia dentro de uma </w:t>
      </w:r>
      <w:r>
        <w:rPr>
          <w:b/>
          <w:bCs/>
          <w:color w:val="0B2545"/>
        </w:rPr>
        <w:t xml:space="preserve">janela controlada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  <w:color w:val="0B2545"/>
        </w:rPr>
        <w:t xml:space="preserve">Ordem:</w:t>
      </w:r>
      <w:r>
        <w:t xml:space="preserve"> grava no Aurora (fonte da verdade) → reindexa OpenSearch → invalida/aquece Redis.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  <w:color w:val="0B2545"/>
        </w:rPr>
        <w:t xml:space="preserve">Falha parcial</w:t>
      </w:r>
      <w:r>
        <w:t xml:space="preserve"> (ex.: indexação do OpenSearch falha): o ciclo registra o erro, </w:t>
      </w:r>
      <w:r>
        <w:rPr>
          <w:b/>
          <w:bCs/>
          <w:color w:val="0B2545"/>
        </w:rPr>
        <w:t xml:space="preserve">reprocessa</w:t>
      </w:r>
      <w:r>
        <w:t xml:space="preserve"> a etapa e alerta; o Aurora permanece íntegro como fonte da verdade.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b/>
          <w:bCs/>
          <w:color w:val="0B2545"/>
        </w:rPr>
        <w:t xml:space="preserve">Invalidação do Redis:</w:t>
      </w:r>
      <w:r>
        <w:t xml:space="preserve"> chaves dos CNPJs afetados são expiradas ao fim da carga, evitando servir dado velho.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O backend assume que, ao consultar, os dados já estão coerentes (foto do último ciclo concluído).</w:t>
      </w:r>
    </w:p>
    <w:p>
      <w:pPr>
        <w:pStyle w:val="Heading1"/>
      </w:pPr>
      <w:r>
        <w:t xml:space="preserve">12. Decisões em Aberto (a confirmar)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4"/>
        <w:gridCol w:w="4347"/>
        <w:gridCol w:w="4157"/>
      </w:tblGrid>
      <w:tr>
        <w:trPr>
          <w:tblHeader/>
        </w:trPr>
        <w:tc>
          <w:tcPr>
            <w:tcW w:type="dxa" w:w="113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34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415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005CA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Suposição atual</w:t>
            </w:r>
          </w:p>
        </w:tc>
      </w:tr>
      <w:tr>
        <w:tc>
          <w:tcPr>
            <w:tcW w:type="dxa" w:w="113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Saldo</w:t>
            </w:r>
          </w:p>
        </w:tc>
        <w:tc>
          <w:tcPr>
            <w:tcW w:type="dxa" w:w="434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Vem pronto na A08 ou é </w:t>
            </w:r>
            <w:r>
              <w:rPr>
                <w:rFonts w:ascii="Consolas" w:cs="Consolas" w:eastAsia="Consolas" w:hAnsi="Consolas"/>
                <w:color w:val="A4262C"/>
                <w:sz w:val="19"/>
                <w:szCs w:val="19"/>
                <w:shd w:fill="F1F1F1" w:color="auto" w:val="clear"/>
              </w:rPr>
              <w:t xml:space="preserve">SUM</w:t>
            </w:r>
            <w:r>
              <w:rPr>
                <w:sz w:val="19"/>
                <w:szCs w:val="19"/>
              </w:rPr>
              <w:t xml:space="preserve"> da A10?</w:t>
            </w:r>
          </w:p>
        </w:tc>
        <w:tc>
          <w:tcPr>
            <w:tcW w:type="dxa" w:w="415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A4262C"/>
                <w:sz w:val="19"/>
                <w:szCs w:val="19"/>
                <w:shd w:fill="F1F1F1" w:color="auto" w:val="clear"/>
              </w:rPr>
              <w:t xml:space="preserve">SUM</w:t>
            </w:r>
            <w:r>
              <w:rPr>
                <w:sz w:val="19"/>
                <w:szCs w:val="19"/>
              </w:rPr>
              <w:t xml:space="preserve"> dos depósitos (A10)</w:t>
            </w:r>
          </w:p>
        </w:tc>
      </w:tr>
      <w:tr>
        <w:tc>
          <w:tcPr>
            <w:tcW w:type="dxa" w:w="113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Ligação CNPJ</w:t>
            </w:r>
          </w:p>
        </w:tc>
        <w:tc>
          <w:tcPr>
            <w:tcW w:type="dxa" w:w="434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É a B06 que liga CNPJ→contas? Partes na J06?</w:t>
            </w:r>
          </w:p>
        </w:tc>
        <w:tc>
          <w:tcPr>
            <w:tcW w:type="dxa" w:w="415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Sim para ambas</w:t>
            </w:r>
          </w:p>
        </w:tc>
      </w:tr>
      <w:tr>
        <w:tc>
          <w:tcPr>
            <w:tcW w:type="dxa" w:w="113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Delta</w:t>
            </w:r>
          </w:p>
        </w:tc>
        <w:tc>
          <w:tcPr>
            <w:tcW w:type="dxa" w:w="434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Mainframe envia só o alterado ou base inteira?</w:t>
            </w:r>
          </w:p>
        </w:tc>
        <w:tc>
          <w:tcPr>
            <w:tcW w:type="dxa" w:w="415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Apenas o delta diário</w:t>
            </w:r>
          </w:p>
        </w:tc>
      </w:tr>
      <w:tr>
        <w:tc>
          <w:tcPr>
            <w:tcW w:type="dxa" w:w="113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Compute</w:t>
            </w:r>
          </w:p>
        </w:tc>
        <w:tc>
          <w:tcPr>
            <w:tcW w:type="dxa" w:w="434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ECS Fargate ou EKS?</w:t>
            </w:r>
          </w:p>
        </w:tc>
        <w:tc>
          <w:tcPr>
            <w:tcW w:type="dxa" w:w="415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Fargate (mais simples)</w:t>
            </w:r>
          </w:p>
        </w:tc>
      </w:tr>
      <w:tr>
        <w:tc>
          <w:tcPr>
            <w:tcW w:type="dxa" w:w="1134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434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Fase 1 ou fase 2?</w:t>
            </w:r>
          </w:p>
        </w:tc>
        <w:tc>
          <w:tcPr>
            <w:tcW w:type="dxa" w:w="4157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sz w:val="19"/>
                <w:szCs w:val="19"/>
              </w:rPr>
              <w:t xml:space="preserve">Pode entrar na fase 2 sem alterar o conceito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Fases Sugeridas de Implementação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b/>
          <w:bCs/>
          <w:color w:val="0B2545"/>
        </w:rPr>
        <w:t xml:space="preserve">Fase 1 — Núcleo:</w:t>
      </w:r>
      <w:r>
        <w:t xml:space="preserve"> pipeline de carga diária + Aurora (com agregado por CNPJ) + Quarkus + Angular + Keycloak (base própria). Consulta de saldo e detalhe de conta funcionando.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b/>
          <w:bCs/>
          <w:color w:val="0B2545"/>
        </w:rPr>
        <w:t xml:space="preserve">Fase 2 — Busca em escala:</w:t>
      </w:r>
      <w:r>
        <w:t xml:space="preserve"> OpenSearch para busca por CNPJ parcial e listagem paginada do fan-out.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b/>
          <w:bCs/>
          <w:color w:val="0B2545"/>
        </w:rPr>
        <w:t xml:space="preserve">Fase 3 — Performance sob carga:</w:t>
      </w:r>
      <w:r>
        <w:t xml:space="preserve"> Redis como cache dos CNPJs quentes.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b/>
          <w:bCs/>
          <w:color w:val="0B2545"/>
        </w:rPr>
        <w:t xml:space="preserve">Evoluções:</w:t>
      </w:r>
      <w:r>
        <w:t xml:space="preserve"> federação Keycloak↔AD da Caixa; avaliar CDC se surgir necessidade de dado mais fresco que o ciclo diário.</w:t>
      </w:r>
    </w:p>
    <w:p>
      <w:pPr>
        <w:pBdr>
          <w:left w:val="single" w:color="005CA9" w:sz="24" w:space="10"/>
        </w:pBdr>
        <w:shd w:fill="EAF2FB" w:color="auto" w:val="clear"/>
        <w:spacing w:after="200" w:before="200" w:line="288"/>
        <w:ind w:left="200" w:right="200"/>
      </w:pPr>
      <w:r>
        <w:rPr>
          <w:sz w:val="20"/>
          <w:szCs w:val="20"/>
        </w:rPr>
        <w:t xml:space="preserve">Observação: como o fan-out de clientes grandes (Petrobras) é requisito desde o início, o </w:t>
      </w:r>
      <w:r>
        <w:rPr>
          <w:b/>
          <w:bCs/>
          <w:color w:val="0B2545"/>
          <w:sz w:val="20"/>
          <w:szCs w:val="20"/>
        </w:rPr>
        <w:t xml:space="preserve">OpenSearch tende a se justificar cedo</w:t>
      </w:r>
      <w:r>
        <w:rPr>
          <w:sz w:val="20"/>
          <w:szCs w:val="20"/>
        </w:rPr>
        <w:t xml:space="preserve">. O </w:t>
      </w:r>
      <w:r>
        <w:rPr>
          <w:b/>
          <w:bCs/>
          <w:color w:val="0B2545"/>
          <w:sz w:val="20"/>
          <w:szCs w:val="20"/>
        </w:rPr>
        <w:t xml:space="preserve">Redis</w:t>
      </w:r>
      <w:r>
        <w:rPr>
          <w:sz w:val="20"/>
          <w:szCs w:val="20"/>
        </w:rPr>
        <w:t xml:space="preserve"> é a peça de menor risco para adiar.</w:t>
      </w:r>
    </w:p>
    <w:sectPr>
      <w:headerReference w:type="default" r:id="rId6"/>
      <w:footerReference w:type="default" r:id="rId7"/>
      <w:pgSz w:w="11906" w:h="16838" w:orient="portrait"/>
      <w:pgMar w:top="1300" w:right="1134" w:bottom="1134" w:left="1134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B6B7B"/>
        <w:sz w:val="16"/>
        <w:szCs w:val="16"/>
      </w:rPr>
      <w:t xml:space="preserve">Caixa Econômica Federal · Uso interno / Confidencial</w:t>
    </w:r>
    <w:r>
      <w:rPr>
        <w:color w:val="5B6B7B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6" w:sz="6" w:space="4"/>
      </w:pBdr>
      <w:tabs>
        <w:tab w:val="right" w:pos="9638"/>
      </w:tabs>
    </w:pPr>
    <w:r>
      <w:rPr>
        <w:color w:val="5B6B7B"/>
        <w:sz w:val="16"/>
        <w:szCs w:val="16"/>
      </w:rPr>
      <w:t xml:space="preserve">Portal de Consulta Judicial · Proposta Arquitetural</w:t>
    </w:r>
    <w:r>
      <w:rPr>
        <w:b/>
        <w:bCs/>
        <w:color w:val="F39200"/>
        <w:sz w:val="16"/>
        <w:szCs w:val="16"/>
      </w:rPr>
      <w:t xml:space="preserve">	v0.1 · PROPOSTA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005CA9"/>
      </w:rPr>
    </w:lvl>
    <w:lvl w:ilvl="1" w:tentative="1">
      <w:start w:val="1"/>
      <w:numFmt w:val="bullet"/>
      <w:lvlText w:val="–"/>
      <w:lvlJc w:val="left"/>
      <w:pPr>
        <w:ind w:left="800" w:hanging="260"/>
      </w:pPr>
      <w:rPr>
        <w:color w:val="005CA9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005CA9"/>
      </w:rPr>
    </w:lvl>
    <w:lvl w:ilvl="1" w:tentative="1">
      <w:start w:val="1"/>
      <w:numFmt w:val="bullet"/>
      <w:lvlText w:val="–"/>
      <w:lvlJc w:val="left"/>
      <w:pPr>
        <w:ind w:left="800" w:hanging="260"/>
      </w:pPr>
      <w:rPr>
        <w:color w:val="005CA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39200" w:sz="18" w:space="6"/>
      </w:pBdr>
      <w:spacing w:after="240" w:before="12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60" w:before="360"/>
      <w:outlineLvl w:val="1"/>
    </w:pPr>
    <w:rPr>
      <w:b/>
      <w:bCs/>
      <w:color w:val="005CA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outlineLvl w:val="2"/>
    </w:pPr>
    <w:rPr>
      <w:b/>
      <w:bCs/>
      <w:color w:val="0B2545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hd w:fill="EEF3F9" w:color="auto" w:val="clear"/>
      <w:spacing w:after="80" w:before="220"/>
      <w:ind w:left="0"/>
      <w:outlineLvl w:val="3"/>
    </w:pPr>
    <w:rPr>
      <w:b/>
      <w:bCs/>
      <w:color w:val="005CA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251384e12fa40c3fb5b008cb56cf0a4712759a1.png"/><Relationship Id="rId10" Type="http://schemas.openxmlformats.org/officeDocument/2006/relationships/image" Target="media/0fbba7ba071449419d7b2a68f14da48fee63ef6e.png"/><Relationship Id="rId11" Type="http://schemas.openxmlformats.org/officeDocument/2006/relationships/image" Target="media/114af0444e072d9b499f308d7fad09c1ec844d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de Consulta Judicial — Proposta Arquitetural</dc:title>
  <dc:creator>Arquitetura</dc:creator>
  <cp:lastModifiedBy>Un-named</cp:lastModifiedBy>
  <cp:revision>1</cp:revision>
  <dcterms:created xsi:type="dcterms:W3CDTF">2026-10-23T12:25:06.081Z</dcterms:created>
  <dcterms:modified xsi:type="dcterms:W3CDTF">2026-10-23T12:25:06.082Z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